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b/>
          <w:bCs/>
          <w:sz w:val="24"/>
          <w:szCs w:val="24"/>
        </w:rPr>
        <w:t xml:space="preserve">Dr. Annegret Müller-Hauck</w:t>
      </w:r>
    </w:p>
    <w:p>
      <w:r>
        <w:rPr>
          <w:rFonts w:ascii="Arial" w:cs="Arial" w:eastAsia="Arial" w:hAnsi="Arial"/>
          <w:sz w:val="22"/>
          <w:szCs w:val="22"/>
        </w:rPr>
        <w:t xml:space="preserve">Fachanwältin für Versicherungsrecht</w:t>
      </w:r>
    </w:p>
    <w:p>
      <w:r>
        <w:rPr>
          <w:rFonts w:ascii="Arial" w:cs="Arial" w:eastAsia="Arial" w:hAnsi="Arial"/>
          <w:sz w:val="22"/>
          <w:szCs w:val="22"/>
        </w:rPr>
        <w:t xml:space="preserve">Kanzlei Müller-Hauck Versicherungsrecht</w:t>
      </w:r>
    </w:p>
    <w:p>
      <w:r>
        <w:rPr>
          <w:rFonts w:ascii="Arial" w:cs="Arial" w:eastAsia="Arial" w:hAnsi="Arial"/>
          <w:sz w:val="22"/>
          <w:szCs w:val="22"/>
        </w:rPr>
        <w:t xml:space="preserve">Aureliusstraße 4 · 52064 Aachen-Burtscheid</w:t>
      </w:r>
    </w:p>
    <w:p>
      <w:r>
        <w:rPr>
          <w:rFonts w:ascii="Arial" w:cs="Arial" w:eastAsia="Arial" w:hAnsi="Arial"/>
          <w:sz w:val="22"/>
          <w:szCs w:val="22"/>
        </w:rPr>
        <w:t xml:space="preserve">Tel.: 0241 / 99 11 44-0 · Fax: 0241 / 99 11 44-99</w:t>
      </w:r>
    </w:p>
    <w:p>
      <w:r>
        <w:rPr>
          <w:rFonts w:ascii="Arial" w:cs="Arial" w:eastAsia="Arial" w:hAnsi="Arial"/>
          <w:sz w:val="22"/>
          <w:szCs w:val="22"/>
        </w:rPr>
        <w:t xml:space="preserve">E-Mail: muellerhauck@versicherungsrecht-ac.de</w:t>
      </w:r>
    </w:p>
    <w:p>
      <w:r>
        <w:t xml:space="preserve"/>
      </w:r>
    </w:p>
    <w:p>
      <w:r>
        <w:t xml:space="preserve"/>
      </w:r>
    </w:p>
    <w:p>
      <w:r>
        <w:rPr>
          <w:rFonts w:ascii="Arial" w:cs="Arial" w:eastAsia="Arial" w:hAnsi="Arial"/>
          <w:sz w:val="24"/>
          <w:szCs w:val="24"/>
        </w:rPr>
        <w:t xml:space="preserve">An das</w:t>
      </w:r>
    </w:p>
    <w:p>
      <w:r>
        <w:rPr>
          <w:rFonts w:ascii="Arial" w:cs="Arial" w:eastAsia="Arial" w:hAnsi="Arial"/>
          <w:b/>
          <w:bCs/>
          <w:sz w:val="24"/>
          <w:szCs w:val="24"/>
        </w:rPr>
        <w:t xml:space="preserve">Landgericht Aachen</w:t>
      </w:r>
    </w:p>
    <w:p>
      <w:r>
        <w:rPr>
          <w:rFonts w:ascii="Arial" w:cs="Arial" w:eastAsia="Arial" w:hAnsi="Arial"/>
          <w:sz w:val="24"/>
          <w:szCs w:val="24"/>
        </w:rPr>
        <w:t xml:space="preserve">Südstraße 2</w:t>
      </w:r>
    </w:p>
    <w:p>
      <w:r>
        <w:rPr>
          <w:rFonts w:ascii="Arial" w:cs="Arial" w:eastAsia="Arial" w:hAnsi="Arial"/>
          <w:sz w:val="24"/>
          <w:szCs w:val="24"/>
        </w:rPr>
        <w:t xml:space="preserve">52064 Aachen</w:t>
      </w:r>
    </w:p>
    <w:p>
      <w:r>
        <w:t xml:space="preserve"/>
      </w:r>
    </w:p>
    <w:p>
      <w:r>
        <w:rPr>
          <w:rFonts w:ascii="Arial" w:cs="Arial" w:eastAsia="Arial" w:hAnsi="Arial"/>
          <w:sz w:val="24"/>
          <w:szCs w:val="24"/>
        </w:rPr>
        <w:t xml:space="preserve">Aachen, den 16. März 2026</w:t>
      </w:r>
    </w:p>
    <w:p>
      <w:r>
        <w:t xml:space="preserve"/>
      </w:r>
    </w:p>
    <w:p>
      <w:r>
        <w:t xml:space="preserve"/>
      </w:r>
    </w:p>
    <w:p>
      <w:pPr>
        <w:jc w:val="center"/>
      </w:pPr>
      <w:r>
        <w:rPr>
          <w:rFonts w:ascii="Arial" w:cs="Arial" w:eastAsia="Arial" w:hAnsi="Arial"/>
          <w:b/>
          <w:bCs/>
          <w:sz w:val="28"/>
          <w:szCs w:val="28"/>
        </w:rPr>
        <w:t xml:space="preserve">K L A G E S C H R I F T</w:t>
      </w:r>
    </w:p>
    <w:p>
      <w:r>
        <w:t xml:space="preserve"/>
      </w:r>
    </w:p>
    <w:p>
      <w:r>
        <w:rPr>
          <w:rFonts w:ascii="Arial" w:cs="Arial" w:eastAsia="Arial" w:hAnsi="Arial"/>
          <w:sz w:val="24"/>
          <w:szCs w:val="24"/>
        </w:rPr>
        <w:t xml:space="preserve">der Frau Marion Vogelweide, Eupener Straße 218, 52066 Aachen,</w:t>
      </w:r>
    </w:p>
    <w:p>
      <w:pPr>
        <w:ind w:left="720"/>
      </w:pPr>
      <w:r>
        <w:rPr>
          <w:rFonts w:ascii="Arial" w:cs="Arial" w:eastAsia="Arial" w:hAnsi="Arial"/>
          <w:b/>
          <w:bCs/>
          <w:i/>
          <w:iCs/>
          <w:sz w:val="24"/>
          <w:szCs w:val="24"/>
        </w:rPr>
        <w:t xml:space="preserve">— Klägerin —</w:t>
      </w:r>
    </w:p>
    <w:p>
      <w:r>
        <w:t xml:space="preserve"/>
      </w:r>
    </w:p>
    <w:p>
      <w:r>
        <w:rPr>
          <w:rFonts w:ascii="Arial" w:cs="Arial" w:eastAsia="Arial" w:hAnsi="Arial"/>
          <w:sz w:val="24"/>
          <w:szCs w:val="24"/>
        </w:rPr>
        <w:t xml:space="preserve">Prozessbevollmächtigte: Dr. Annegret Müller-Hauck, Fachanwältin für Versicherungsrecht, Aureliusstraße 4, 52064 Aachen-Burtscheid</w:t>
      </w:r>
    </w:p>
    <w:p>
      <w:r>
        <w:t xml:space="preserve"/>
      </w:r>
    </w:p>
    <w:p>
      <w:r>
        <w:rPr>
          <w:rFonts w:ascii="Arial" w:cs="Arial" w:eastAsia="Arial" w:hAnsi="Arial"/>
          <w:b/>
          <w:bCs/>
          <w:sz w:val="24"/>
          <w:szCs w:val="24"/>
        </w:rPr>
        <w:t xml:space="preserve">gegen</w:t>
      </w:r>
    </w:p>
    <w:p>
      <w:r>
        <w:t xml:space="preserve"/>
      </w:r>
    </w:p>
    <w:p>
      <w:r>
        <w:rPr>
          <w:rFonts w:ascii="Arial" w:cs="Arial" w:eastAsia="Arial" w:hAnsi="Arial"/>
          <w:sz w:val="24"/>
          <w:szCs w:val="24"/>
        </w:rPr>
        <w:t xml:space="preserve">die DBV-Winterthur Vereinigte Lebensversicherung AG, Theodor-Stern-Kai 1, 60596 Frankfurt am Main,</w:t>
      </w:r>
    </w:p>
    <w:p>
      <w:pPr>
        <w:ind w:left="720"/>
      </w:pPr>
      <w:r>
        <w:rPr>
          <w:rFonts w:ascii="Arial" w:cs="Arial" w:eastAsia="Arial" w:hAnsi="Arial"/>
          <w:b/>
          <w:bCs/>
          <w:i/>
          <w:iCs/>
          <w:sz w:val="24"/>
          <w:szCs w:val="24"/>
        </w:rPr>
        <w:t xml:space="preserve">— Beklagte —</w:t>
      </w:r>
    </w:p>
    <w:p>
      <w:r>
        <w:t xml:space="preserve"/>
      </w:r>
    </w:p>
    <w:p>
      <w:r>
        <w:rPr>
          <w:rFonts w:ascii="Arial" w:cs="Arial" w:eastAsia="Arial" w:hAnsi="Arial"/>
          <w:b/>
          <w:bCs/>
          <w:sz w:val="24"/>
          <w:szCs w:val="24"/>
        </w:rPr>
        <w:t xml:space="preserve">wegen: Zahlung aus Berufsunfähigkeits-Zusatzversicherung</w:t>
      </w:r>
    </w:p>
    <w:p>
      <w:r>
        <w:rPr>
          <w:rFonts w:ascii="Arial" w:cs="Arial" w:eastAsia="Arial" w:hAnsi="Arial"/>
          <w:sz w:val="24"/>
          <w:szCs w:val="24"/>
        </w:rPr>
        <w:t xml:space="preserve">Streitwert: 133.200,00 EUR</w:t>
      </w:r>
    </w:p>
    <w:p>
      <w:r>
        <w:t xml:space="preserve"/>
      </w:r>
    </w:p>
    <w:p>
      <w:r>
        <w:t xml:space="preserve"/>
      </w:r>
    </w:p>
    <w:p>
      <w:pPr>
        <w:pStyle w:val="Heading1"/>
      </w:pPr>
      <w:r>
        <w:rPr>
          <w:rFonts w:ascii="Arial" w:cs="Arial" w:eastAsia="Arial" w:hAnsi="Arial"/>
          <w:b/>
          <w:bCs/>
          <w:sz w:val="26"/>
          <w:szCs w:val="26"/>
        </w:rPr>
        <w:t xml:space="preserve">Klageanträge</w:t>
      </w:r>
    </w:p>
    <w:p>
      <w:r>
        <w:t xml:space="preserve"/>
      </w:r>
    </w:p>
    <w:p>
      <w:r>
        <w:rPr>
          <w:rFonts w:ascii="Arial" w:cs="Arial" w:eastAsia="Arial" w:hAnsi="Arial"/>
          <w:sz w:val="24"/>
          <w:szCs w:val="24"/>
        </w:rPr>
        <w:t xml:space="preserve">Die Klägerin beantragt,</w:t>
      </w:r>
    </w:p>
    <w:p>
      <w:r>
        <w:t xml:space="preserve"/>
      </w:r>
    </w:p>
    <w:p>
      <w:r>
        <w:rPr>
          <w:rFonts w:ascii="Arial" w:cs="Arial" w:eastAsia="Arial" w:hAnsi="Arial"/>
          <w:sz w:val="24"/>
          <w:szCs w:val="24"/>
        </w:rPr>
        <w:t xml:space="preserve">1. festzustellen, dass die Klägerin seit dem 02. September 2025 berufsunfähig im Sinne der Allgemeinen Versicherungsbedingungen für die Berufsunfähigkeits-Zusatzversicherung (BUZ-AVB 1998) zum Lebensversicherungsvertrag Nr. BUZ-1999-LV-44710 bei der Beklagten ist;</w:t>
      </w:r>
    </w:p>
    <w:p>
      <w:r>
        <w:t xml:space="preserve"/>
      </w:r>
    </w:p>
    <w:p>
      <w:r>
        <w:rPr>
          <w:rFonts w:ascii="Arial" w:cs="Arial" w:eastAsia="Arial" w:hAnsi="Arial"/>
          <w:sz w:val="24"/>
          <w:szCs w:val="24"/>
        </w:rPr>
        <w:t xml:space="preserve">2. die Beklagte zu verurteilen, an die Klägerin rückständige Leistungen aus der Berufsunfähigkeits-Zusatzversicherung für den Zeitraum September 2025 bis März 2026 in Höhe von 12.950,00 EUR (7 Monate × 1.850,00 EUR) nebst Zinsen in Höhe von 5 Prozentpunkten über dem Basiszinssatz ab dem jeweiligen Fälligkeitsdatum zu zahlen;</w:t>
      </w:r>
    </w:p>
    <w:p>
      <w:r>
        <w:t xml:space="preserve"/>
      </w:r>
    </w:p>
    <w:p>
      <w:r>
        <w:rPr>
          <w:rFonts w:ascii="Arial" w:cs="Arial" w:eastAsia="Arial" w:hAnsi="Arial"/>
          <w:sz w:val="24"/>
          <w:szCs w:val="24"/>
        </w:rPr>
        <w:t xml:space="preserve">3. die Beklagte zu verurteilen, an die Klägerin ab April 2026 eine monatliche Berufsunfähigkeitsrente in Höhe von 1.850,00 EUR, fällig zum Ersten eines jeden Kalendermonats, bis längstens zum 31. Dezember 2039 (Endalter 65) zu zahlen;</w:t>
      </w:r>
    </w:p>
    <w:p>
      <w:r>
        <w:t xml:space="preserve"/>
      </w:r>
    </w:p>
    <w:p>
      <w:r>
        <w:rPr>
          <w:rFonts w:ascii="Arial" w:cs="Arial" w:eastAsia="Arial" w:hAnsi="Arial"/>
          <w:sz w:val="24"/>
          <w:szCs w:val="24"/>
        </w:rPr>
        <w:t xml:space="preserve">4. die Beklagte zu verurteilen, die Klägerin von den ihr entstandenen vorgerichtlichen Rechtsanwaltskosten in Höhe von 2.712,00 EUR (inkl. MwSt.) freizustellen;</w:t>
      </w:r>
    </w:p>
    <w:p>
      <w:r>
        <w:t xml:space="preserve"/>
      </w:r>
    </w:p>
    <w:p>
      <w:r>
        <w:rPr>
          <w:rFonts w:ascii="Arial" w:cs="Arial" w:eastAsia="Arial" w:hAnsi="Arial"/>
          <w:sz w:val="24"/>
          <w:szCs w:val="24"/>
        </w:rPr>
        <w:t xml:space="preserve">5. der Beklagten die Kosten des Rechtsstreits aufzuerlegen.</w:t>
      </w:r>
    </w:p>
    <w:p>
      <w:r>
        <w:t xml:space="preserve"/>
      </w:r>
    </w:p>
    <w:p>
      <w:r>
        <w:t xml:space="preserve"/>
      </w:r>
    </w:p>
    <w:p>
      <w:pPr>
        <w:pStyle w:val="Heading1"/>
      </w:pPr>
      <w:r>
        <w:rPr>
          <w:rFonts w:ascii="Arial" w:cs="Arial" w:eastAsia="Arial" w:hAnsi="Arial"/>
          <w:b/>
          <w:bCs/>
          <w:sz w:val="26"/>
          <w:szCs w:val="26"/>
        </w:rPr>
        <w:t xml:space="preserve">Sachverhalt</w:t>
      </w:r>
    </w:p>
    <w:p>
      <w:r>
        <w:t xml:space="preserve"/>
      </w:r>
    </w:p>
    <w:p>
      <w:pPr>
        <w:pStyle w:val="Heading2"/>
      </w:pPr>
      <w:r>
        <w:rPr>
          <w:rFonts w:ascii="Arial" w:cs="Arial" w:eastAsia="Arial" w:hAnsi="Arial"/>
          <w:b/>
          <w:bCs/>
          <w:sz w:val="24"/>
          <w:szCs w:val="24"/>
        </w:rPr>
        <w:t xml:space="preserve">I. Die Klägerin und ihr Beruf</w:t>
      </w:r>
    </w:p>
    <w:p>
      <w:r>
        <w:rPr>
          <w:rFonts w:ascii="Arial" w:cs="Arial" w:eastAsia="Arial" w:hAnsi="Arial"/>
          <w:sz w:val="24"/>
          <w:szCs w:val="24"/>
        </w:rPr>
        <w:t xml:space="preserve">Die Klägerin, Frau Marion Vogelweide, geboren am 14. März 1974 in Aachen, ist examinierte Altenpflegerin mit 38 Jahren Berufserfahrung. Nach dem staatlichen Altenpflege-Examen im Jahre 1988 war sie zunächst im Städtischen Pflegeheim Aachen tätig und wechselte 1995 zum St.-Antonius-Heim GmbH, Sebastianstraße 144, 52080 Aachen-Brand, wo sie zuletzt als Wohnbereichsleiterin und Praxisanleiterin tätig war (TVöD-P 8, Stufe 5, Bruttogehalt 2.754,00 EUR monatlich).</w:t>
      </w:r>
    </w:p>
    <w:p>
      <w:r>
        <w:t xml:space="preserve"/>
      </w:r>
    </w:p>
    <w:p>
      <w:r>
        <w:rPr>
          <w:rFonts w:ascii="Arial" w:cs="Arial" w:eastAsia="Arial" w:hAnsi="Arial"/>
          <w:sz w:val="24"/>
          <w:szCs w:val="24"/>
        </w:rPr>
        <w:t xml:space="preserve">Das Berufsbild der examinierten Altenpflegerin ist durch körperlich schwere, hygienisch belastende und psychiatrisch anspruchsvolle Tätigkeit geprägt: Heben und Lagern von Pflegebedürftigen (bis 80 kg Körpergewicht), Grundpflege stehend und in gebückter Haltung, Behandlungspflege unter Einsatz von Desinfektionsmitteln und Schutzhandschuhen, Pflegedokumentation sowie Praxisanleitung von Auszubildenden. Laut Bestätigung des Arbeitgebers vom 09. März 2026 (Anlage K 4) entfallen 55–60 % der regulären Arbeitszeit auf körperlich schwere Tätigkeiten.</w:t>
      </w:r>
    </w:p>
    <w:p>
      <w:r>
        <w:t xml:space="preserve"/>
      </w:r>
    </w:p>
    <w:p>
      <w:pPr>
        <w:pStyle w:val="Heading2"/>
      </w:pPr>
      <w:r>
        <w:rPr>
          <w:rFonts w:ascii="Arial" w:cs="Arial" w:eastAsia="Arial" w:hAnsi="Arial"/>
          <w:b/>
          <w:bCs/>
          <w:sz w:val="24"/>
          <w:szCs w:val="24"/>
        </w:rPr>
        <w:t xml:space="preserve">II. Der Versicherungsvertrag</w:t>
      </w:r>
    </w:p>
    <w:p>
      <w:r>
        <w:rPr>
          <w:rFonts w:ascii="Arial" w:cs="Arial" w:eastAsia="Arial" w:hAnsi="Arial"/>
          <w:sz w:val="24"/>
          <w:szCs w:val="24"/>
        </w:rPr>
        <w:t xml:space="preserve">Mit Wirkung zum 01. Januar 1999 schloss die Klägerin bei der Beklagten eine Berufsunfähigkeits-Zusatzversicherung (BUZ) mit der Vertragsnummer BUZ-1999-LV-44710 ab. Die versicherte Monatsrente beträgt 1.850,00 EUR, die Versicherung läuft bis zum Endalter 65 (31. Dezember 2039). Den Versicherungsbedingungen (BUZ-AVB 1998 der Beklagten) liegt eine 50-%-Berufsunfähigkeitsschwelle zugrunde.</w:t>
      </w:r>
    </w:p>
    <w:p>
      <w:r>
        <w:t xml:space="preserve"/>
      </w:r>
    </w:p>
    <w:p>
      <w:pPr>
        <w:pStyle w:val="Heading2"/>
      </w:pPr>
      <w:r>
        <w:rPr>
          <w:rFonts w:ascii="Arial" w:cs="Arial" w:eastAsia="Arial" w:hAnsi="Arial"/>
          <w:b/>
          <w:bCs/>
          <w:sz w:val="24"/>
          <w:szCs w:val="24"/>
        </w:rPr>
        <w:t xml:space="preserve">III. Eintritt der Berufsunfähigkeit</w:t>
      </w:r>
    </w:p>
    <w:p>
      <w:r>
        <w:rPr>
          <w:rFonts w:ascii="Arial" w:cs="Arial" w:eastAsia="Arial" w:hAnsi="Arial"/>
          <w:sz w:val="24"/>
          <w:szCs w:val="24"/>
        </w:rPr>
        <w:t xml:space="preserve">Seit dem 02. September 2025 ist die Klägerin außerstande, ihren Beruf als examinierte Altenpflegerin zu mehr als 50 % auszuüben. Die Berufsunfähigkeit beruht auf einem Zusammenwirken dreier medizinischer Diagnosegruppen:</w:t>
      </w:r>
    </w:p>
    <w:p>
      <w:r>
        <w:t xml:space="preserve"/>
      </w:r>
    </w:p>
    <w:p>
      <w:r>
        <w:rPr>
          <w:rFonts w:ascii="Arial" w:cs="Arial" w:eastAsia="Arial" w:hAnsi="Arial"/>
          <w:sz w:val="24"/>
          <w:szCs w:val="24"/>
        </w:rPr>
        <w:t xml:space="preserve">1. Orthopädische Erkrankungen: Bandscheibenvorfall HWS C5/C6 mit Radikulopathie (ICD-10: M50.1), operiert im November 2024 durch anteriore zervikale Diskektomie und Fusion (ACDF) am Universitätsklinikum Aachen, mit persistierender Kraftminderung der linken Hand (Griffstärke 60 % der Norm) und chronischen Parästhesien; chronisches LWS-Syndrom L4/L5 und L5/S1 (ICD-10: M54.4) seit 2022 mit dauerhafter Einschränkung der Hebe- und Tragekapazität.</w:t>
      </w:r>
    </w:p>
    <w:p>
      <w:r>
        <w:t xml:space="preserve"/>
      </w:r>
    </w:p>
    <w:p>
      <w:r>
        <w:rPr>
          <w:rFonts w:ascii="Arial" w:cs="Arial" w:eastAsia="Arial" w:hAnsi="Arial"/>
          <w:sz w:val="24"/>
          <w:szCs w:val="24"/>
        </w:rPr>
        <w:t xml:space="preserve">2. Psychiatrische Erkrankungen: Mittelgradige depressive Episode (ICD-10: F32.1) und Anpassungsstörung (ICD-10: F43.2) nach Mobbing-Belastung durch die Pflegedienstleitung des Arbeitgebers. Der BDI-II-Score betrug zuletzt 29 (schwere Depression). Trotz optimierter Pharmakotherapie (Sertralin 100 mg/d, Mirtazapin 15 mg/d) besteht keine vollständige Remission.</w:t>
      </w:r>
    </w:p>
    <w:p>
      <w:r>
        <w:t xml:space="preserve"/>
      </w:r>
    </w:p>
    <w:p>
      <w:r>
        <w:rPr>
          <w:rFonts w:ascii="Arial" w:cs="Arial" w:eastAsia="Arial" w:hAnsi="Arial"/>
          <w:sz w:val="24"/>
          <w:szCs w:val="24"/>
        </w:rPr>
        <w:t xml:space="preserve">3. Dermatologische Erkrankungen: Chronisch-hyperkeratotisches allergisches Kontaktekzem beider Hände (ICD-10: L23.5) auf dem Boden einer IgE-vermittelten Latexsensibilisierung (RAST Hevein-IgE Klasse 3) und einer Glutaraldehyd-Sensibilisierung (Epikutantest ++). Die Latexsensibilisierung ist nach aktuellem medizinischem Erkenntnisstand irreversibel. Eine BK-5101-Anzeige ist seit März 2025 bei der BGW anhängig (Az. BGW-2025-BK-10924).</w:t>
      </w:r>
    </w:p>
    <w:p>
      <w:r>
        <w:t xml:space="preserve"/>
      </w:r>
    </w:p>
    <w:p>
      <w:pPr>
        <w:pStyle w:val="Heading2"/>
      </w:pPr>
      <w:r>
        <w:rPr>
          <w:rFonts w:ascii="Arial" w:cs="Arial" w:eastAsia="Arial" w:hAnsi="Arial"/>
          <w:b/>
          <w:bCs/>
          <w:sz w:val="24"/>
          <w:szCs w:val="24"/>
        </w:rPr>
        <w:t xml:space="preserve">IV. Leistungsablehnung der Beklagten</w:t>
      </w:r>
    </w:p>
    <w:p>
      <w:r>
        <w:rPr>
          <w:rFonts w:ascii="Arial" w:cs="Arial" w:eastAsia="Arial" w:hAnsi="Arial"/>
          <w:sz w:val="24"/>
          <w:szCs w:val="24"/>
        </w:rPr>
        <w:t xml:space="preserve">Mit Schreiben vom 14. Februar 2026 (Anlage K 2) lehnte die Beklagte die Leistungserbringung ab. Als Begründung führte die Beklagte an: (1) fehlende ausreichende BU im Sinne der AVB, (2) mögliche Verweisungstätigkeit (Pflegedokumentation, Pflegeberatung, Heimverwaltung), (3) fehlende Dauerhaftigkeit. Diese Ablehnung ist rechtlich nicht haltbar.</w:t>
      </w:r>
    </w:p>
    <w:p>
      <w:r>
        <w:t xml:space="preserve"/>
      </w:r>
    </w:p>
    <w:p>
      <w:r>
        <w:t xml:space="preserve"/>
      </w:r>
    </w:p>
    <w:p>
      <w:pPr>
        <w:pStyle w:val="Heading1"/>
      </w:pPr>
      <w:r>
        <w:rPr>
          <w:rFonts w:ascii="Arial" w:cs="Arial" w:eastAsia="Arial" w:hAnsi="Arial"/>
          <w:b/>
          <w:bCs/>
          <w:sz w:val="26"/>
          <w:szCs w:val="26"/>
        </w:rPr>
        <w:t xml:space="preserve">Rechtliche Begründung</w:t>
      </w:r>
    </w:p>
    <w:p>
      <w:r>
        <w:t xml:space="preserve"/>
      </w:r>
    </w:p>
    <w:p>
      <w:pPr>
        <w:pStyle w:val="Heading2"/>
      </w:pPr>
      <w:r>
        <w:rPr>
          <w:rFonts w:ascii="Arial" w:cs="Arial" w:eastAsia="Arial" w:hAnsi="Arial"/>
          <w:b/>
          <w:bCs/>
          <w:sz w:val="24"/>
          <w:szCs w:val="24"/>
        </w:rPr>
        <w:t xml:space="preserve">I. Berufsunfähigkeit liegt vor (§ 172 VVG)</w:t>
      </w:r>
    </w:p>
    <w:p>
      <w:r>
        <w:rPr>
          <w:rFonts w:ascii="Arial" w:cs="Arial" w:eastAsia="Arial" w:hAnsi="Arial"/>
          <w:sz w:val="24"/>
          <w:szCs w:val="24"/>
        </w:rPr>
        <w:t xml:space="preserve">Gemäß § 172 Abs. 2 VVG liegt Berufsunfähigkeit vor, wenn die versicherte Person ihren zuletzt ausgeübten Beruf, so wie er ohne gesundheitliche Beeinträchtigung ausgestaltet war, infolge Krankheit, Körperverletzung oder mehr als altersentsprechenden Kräfteverfalls ganz oder teilweise voraussichtlich dauernd nicht mehr ausüben kann. Die Mindeststandards des § 172 VVG gelten zwingend zugunsten der Versicherungsnehmerin (§ 172 Abs. 3 VVG).</w:t>
      </w:r>
    </w:p>
    <w:p>
      <w:r>
        <w:t xml:space="preserve"/>
      </w:r>
    </w:p>
    <w:p>
      <w:r>
        <w:rPr>
          <w:rFonts w:ascii="Arial" w:cs="Arial" w:eastAsia="Arial" w:hAnsi="Arial"/>
          <w:sz w:val="24"/>
          <w:szCs w:val="24"/>
        </w:rPr>
        <w:t xml:space="preserve">Die Klägerin ist in dem für das Berufsbild der Altenpflegerin wesentlichen Teil ihrer Tätigkeit — nämlich der körperlichen Grundpflege und der Behandlungspflege — dauerhaft und zu mehr als 50 % berufsunfähig. Maßgeblich ist der konkret ausgeübte Beruf in seiner Ausgestaltung (BGH IV ZR 275/08, VersR 2010, 1171). Die Gesamtbetrachtung aller Einschränkungen ergibt eine weit über 50 % liegende Beeinträchtigung.</w:t>
      </w:r>
    </w:p>
    <w:p>
      <w:r>
        <w:t xml:space="preserve"/>
      </w:r>
    </w:p>
    <w:p>
      <w:pPr>
        <w:pStyle w:val="Heading2"/>
      </w:pPr>
      <w:r>
        <w:rPr>
          <w:rFonts w:ascii="Arial" w:cs="Arial" w:eastAsia="Arial" w:hAnsi="Arial"/>
          <w:b/>
          <w:bCs/>
          <w:sz w:val="24"/>
          <w:szCs w:val="24"/>
        </w:rPr>
        <w:t xml:space="preserve">II. Die Verweisungsklausel ist unzulässig</w:t>
      </w:r>
    </w:p>
    <w:p>
      <w:r>
        <w:rPr>
          <w:rFonts w:ascii="Arial" w:cs="Arial" w:eastAsia="Arial" w:hAnsi="Arial"/>
          <w:sz w:val="24"/>
          <w:szCs w:val="24"/>
        </w:rPr>
        <w:t xml:space="preserve">Die pauschale Verweisung der Beklagten auf "Pflegedokumentation, Pflegeberatung oder Heimverwaltung" ist aus mehreren Gründen unzulässig. Nach ständiger Rechtsprechung des BGH muss der Versicherer konkrete Verweisungstätigkeiten benennen und darlegen, dass die Versicherte diese gesundheitlich bewältigen kann und sie ihrer bisherigen Lebensstellung entsprechen (BGH IV ZR 244/03, NJW-RR 2007, 751; BGH IV ZR 203/92, BGHZ 123, 364). Das Ablehnungsschreiben der Beklagten enthält keinerlei Konkretisierung. Heimverwaltungstätigkeiten erfordern zudem kaufmännische Qualifikationen, die die Klägerin nicht besitzt. Pflegeberatungstätigkeiten nach § 7a SGB XI setzen eine nicht vorhandene Weiterqualifikation voraus.</w:t>
      </w:r>
    </w:p>
    <w:p>
      <w:r>
        <w:t xml:space="preserve"/>
      </w:r>
    </w:p>
    <w:p>
      <w:pPr>
        <w:pStyle w:val="Heading2"/>
      </w:pPr>
      <w:r>
        <w:rPr>
          <w:rFonts w:ascii="Arial" w:cs="Arial" w:eastAsia="Arial" w:hAnsi="Arial"/>
          <w:b/>
          <w:bCs/>
          <w:sz w:val="24"/>
          <w:szCs w:val="24"/>
        </w:rPr>
        <w:t xml:space="preserve">III. Dauerhaftigkeit ist gegeben</w:t>
      </w:r>
    </w:p>
    <w:p>
      <w:r>
        <w:rPr>
          <w:rFonts w:ascii="Arial" w:cs="Arial" w:eastAsia="Arial" w:hAnsi="Arial"/>
          <w:sz w:val="24"/>
          <w:szCs w:val="24"/>
        </w:rPr>
        <w:t xml:space="preserve">Berufsunfähigkeit ist dauerhaft, wenn eine vollständige Wiederherstellung der Arbeitsfähigkeit innerhalb von 3 Jahren überwiegend unwahrscheinlich ist (BGH IV ZR 99/95, BGHZ 134, 368). Die IgE-vermittelte Latexsensibilisierung ist nach aktuellen medizinischen Leitlinien irreversibel — allein sie begründet die dauernde BU für den Pflegeberuf. Hinzu kommt die persistierende orthopädische und psychiatrische Symptomatik trotz optimaler Therapie.</w:t>
      </w:r>
    </w:p>
    <w:p>
      <w:r>
        <w:t xml:space="preserve"/>
      </w:r>
    </w:p>
    <w:p>
      <w:r>
        <w:t xml:space="preserve"/>
      </w:r>
    </w:p>
    <w:p>
      <w:pPr>
        <w:pStyle w:val="Heading1"/>
      </w:pPr>
      <w:r>
        <w:rPr>
          <w:rFonts w:ascii="Arial" w:cs="Arial" w:eastAsia="Arial" w:hAnsi="Arial"/>
          <w:b/>
          <w:bCs/>
          <w:sz w:val="26"/>
          <w:szCs w:val="26"/>
        </w:rPr>
        <w:t xml:space="preserve">Beweisangebote</w:t>
      </w:r>
    </w:p>
    <w:p>
      <w:r>
        <w:t xml:space="preserve"/>
      </w:r>
    </w:p>
    <w:p>
      <w:r>
        <w:rPr>
          <w:rFonts w:ascii="Arial" w:cs="Arial" w:eastAsia="Arial" w:hAnsi="Arial"/>
          <w:sz w:val="24"/>
          <w:szCs w:val="24"/>
        </w:rPr>
        <w:t xml:space="preserve">Beweis für die behaupteten Tatsachen wird angeboten durch:</w:t>
      </w:r>
    </w:p>
    <w:p>
      <w:pPr>
        <w:ind w:left="360"/>
      </w:pPr>
      <w:r>
        <w:rPr>
          <w:rFonts w:ascii="Arial" w:cs="Arial" w:eastAsia="Arial" w:hAnsi="Arial"/>
          <w:sz w:val="24"/>
          <w:szCs w:val="24"/>
        </w:rPr>
        <w:t xml:space="preserve">— Sachverständigengutachten (Orthopädie/Neurochirurgie, Psychiatrie, Dermatologie)</w:t>
      </w:r>
    </w:p>
    <w:p>
      <w:pPr>
        <w:ind w:left="360"/>
      </w:pPr>
      <w:r>
        <w:rPr>
          <w:rFonts w:ascii="Arial" w:cs="Arial" w:eastAsia="Arial" w:hAnsi="Arial"/>
          <w:sz w:val="24"/>
          <w:szCs w:val="24"/>
        </w:rPr>
        <w:t xml:space="preserve">— Zeugen: Dr. Brandt (Orthopädie), Dr. Scholz (Neurochirurgie), Dr. Hermanns (Psychiatrie)</w:t>
      </w:r>
    </w:p>
    <w:p>
      <w:pPr>
        <w:ind w:left="360"/>
      </w:pPr>
      <w:r>
        <w:rPr>
          <w:rFonts w:ascii="Arial" w:cs="Arial" w:eastAsia="Arial" w:hAnsi="Arial"/>
          <w:sz w:val="24"/>
          <w:szCs w:val="24"/>
        </w:rPr>
        <w:t xml:space="preserve">— Urkunden: Anlagen K 1 bis K 19</w:t>
      </w:r>
    </w:p>
    <w:p>
      <w:pPr>
        <w:ind w:left="360"/>
      </w:pPr>
      <w:r>
        <w:rPr>
          <w:rFonts w:ascii="Arial" w:cs="Arial" w:eastAsia="Arial" w:hAnsi="Arial"/>
          <w:sz w:val="24"/>
          <w:szCs w:val="24"/>
        </w:rPr>
        <w:t xml:space="preserve">— Parteivernehmung der Klägerin</w:t>
      </w:r>
    </w:p>
    <w:p>
      <w:r>
        <w:t xml:space="preserve"/>
      </w:r>
    </w:p>
    <w:p>
      <w:r>
        <w:t xml:space="preserve"/>
      </w:r>
    </w:p>
    <w:p>
      <w:pPr>
        <w:jc w:val="right"/>
      </w:pPr>
      <w:r>
        <w:rPr>
          <w:rFonts w:ascii="Arial" w:cs="Arial" w:eastAsia="Arial" w:hAnsi="Arial"/>
          <w:sz w:val="24"/>
          <w:szCs w:val="24"/>
        </w:rPr>
        <w:t xml:space="preserve">Aachen, den 16. März 2026</w:t>
      </w:r>
    </w:p>
    <w:p>
      <w:r>
        <w:t xml:space="preserve"/>
      </w:r>
    </w:p>
    <w:p>
      <w:r>
        <w:t xml:space="preserve"/>
      </w:r>
    </w:p>
    <w:p>
      <w:r>
        <w:rPr>
          <w:rFonts w:ascii="Arial" w:cs="Arial" w:eastAsia="Arial" w:hAnsi="Arial"/>
          <w:sz w:val="24"/>
          <w:szCs w:val="24"/>
        </w:rPr>
        <w:t xml:space="preserve">____________________________</w:t>
      </w:r>
    </w:p>
    <w:p>
      <w:r>
        <w:rPr>
          <w:rFonts w:ascii="Arial" w:cs="Arial" w:eastAsia="Arial" w:hAnsi="Arial"/>
          <w:b/>
          <w:bCs/>
          <w:sz w:val="24"/>
          <w:szCs w:val="24"/>
        </w:rPr>
        <w:t xml:space="preserve">Dr. Annegret Müller-Hauck</w:t>
      </w:r>
    </w:p>
    <w:p>
      <w:r>
        <w:rPr>
          <w:rFonts w:ascii="Arial" w:cs="Arial" w:eastAsia="Arial" w:hAnsi="Arial"/>
          <w:sz w:val="24"/>
          <w:szCs w:val="24"/>
        </w:rPr>
        <w:t xml:space="preserve">Fachanwältin für Versicherungsrecht</w:t>
      </w:r>
    </w:p>
    <w:sectPr>
      <w:pgSz w:w="11906" w:h="16838" w:orient="portrait"/>
      <w:pgMar w:top="1440" w:right="1134" w:bottom="1440"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2026-05-30T15:52:16.249Z</dcterms:created>
  <dcterms:modified xsi:type="dcterms:W3CDTF">2026-05-30T15:52:16.249Z</dcterms:modified>
</cp:coreProperties>
</file>

<file path=docProps/custom.xml><?xml version="1.0" encoding="utf-8"?>
<Properties xmlns="http://schemas.openxmlformats.org/officeDocument/2006/custom-properties" xmlns:vt="http://schemas.openxmlformats.org/officeDocument/2006/docPropsVTypes"/>
</file>