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Arial" w:cs="Arial" w:eastAsia="Arial" w:hAnsi="Arial"/>
          <w:b/>
          <w:bCs/>
          <w:sz w:val="24"/>
          <w:szCs w:val="24"/>
        </w:rPr>
        <w:t xml:space="preserve">Dr. Annegret Müller-Hauck</w:t>
      </w:r>
    </w:p>
    <w:p>
      <w:r>
        <w:rPr>
          <w:rFonts w:ascii="Arial" w:cs="Arial" w:eastAsia="Arial" w:hAnsi="Arial"/>
          <w:sz w:val="22"/>
          <w:szCs w:val="22"/>
        </w:rPr>
        <w:t xml:space="preserve">Fachanwältin für Versicherungsrecht</w:t>
      </w:r>
    </w:p>
    <w:p>
      <w:r>
        <w:rPr>
          <w:rFonts w:ascii="Arial" w:cs="Arial" w:eastAsia="Arial" w:hAnsi="Arial"/>
          <w:sz w:val="22"/>
          <w:szCs w:val="22"/>
        </w:rPr>
        <w:t xml:space="preserve">Kanzlei Müller-Hauck Versicherungsrecht</w:t>
      </w:r>
    </w:p>
    <w:p>
      <w:r>
        <w:rPr>
          <w:rFonts w:ascii="Arial" w:cs="Arial" w:eastAsia="Arial" w:hAnsi="Arial"/>
          <w:sz w:val="22"/>
          <w:szCs w:val="22"/>
        </w:rPr>
        <w:t xml:space="preserve">Aureliusstraße 4 · 52064 Aachen-Burtscheid</w:t>
      </w:r>
    </w:p>
    <w:p>
      <w:r>
        <w:t xml:space="preserve"/>
      </w:r>
    </w:p>
    <w:p>
      <w:r>
        <w:rPr>
          <w:rFonts w:ascii="Arial" w:cs="Arial" w:eastAsia="Arial" w:hAnsi="Arial"/>
          <w:sz w:val="24"/>
          <w:szCs w:val="24"/>
        </w:rPr>
        <w:t xml:space="preserve">An das</w:t>
      </w:r>
    </w:p>
    <w:p>
      <w:r>
        <w:rPr>
          <w:rFonts w:ascii="Arial" w:cs="Arial" w:eastAsia="Arial" w:hAnsi="Arial"/>
          <w:b/>
          <w:bCs/>
          <w:sz w:val="24"/>
          <w:szCs w:val="24"/>
        </w:rPr>
        <w:t xml:space="preserve">Landgericht Köln</w:t>
      </w:r>
    </w:p>
    <w:p>
      <w:r>
        <w:rPr>
          <w:rFonts w:ascii="Arial" w:cs="Arial" w:eastAsia="Arial" w:hAnsi="Arial"/>
          <w:sz w:val="24"/>
          <w:szCs w:val="24"/>
        </w:rPr>
        <w:t xml:space="preserve">Luxemburger Straße 101</w:t>
      </w:r>
    </w:p>
    <w:p>
      <w:r>
        <w:rPr>
          <w:rFonts w:ascii="Arial" w:cs="Arial" w:eastAsia="Arial" w:hAnsi="Arial"/>
          <w:sz w:val="24"/>
          <w:szCs w:val="24"/>
        </w:rPr>
        <w:t xml:space="preserve">50939 Köln</w:t>
      </w:r>
    </w:p>
    <w:p>
      <w:r>
        <w:t xml:space="preserve"/>
      </w:r>
    </w:p>
    <w:p>
      <w:r>
        <w:rPr>
          <w:rFonts w:ascii="Arial" w:cs="Arial" w:eastAsia="Arial" w:hAnsi="Arial"/>
          <w:sz w:val="24"/>
          <w:szCs w:val="24"/>
        </w:rPr>
        <w:t xml:space="preserve">Aachen, den 20. März 2026</w:t>
      </w:r>
    </w:p>
    <w:p>
      <w:r>
        <w:t xml:space="preserve"/>
      </w:r>
    </w:p>
    <w:p>
      <w:r>
        <w:t xml:space="preserve"/>
      </w:r>
    </w:p>
    <w:p>
      <w:pPr>
        <w:jc w:val="center"/>
      </w:pPr>
      <w:r>
        <w:rPr>
          <w:rFonts w:ascii="Arial" w:cs="Arial" w:eastAsia="Arial" w:hAnsi="Arial"/>
          <w:b/>
          <w:bCs/>
          <w:sz w:val="28"/>
          <w:szCs w:val="28"/>
        </w:rPr>
        <w:t xml:space="preserve">K L A G E S C H R I F T</w:t>
      </w:r>
    </w:p>
    <w:p>
      <w:r>
        <w:t xml:space="preserve"/>
      </w:r>
    </w:p>
    <w:p>
      <w:r>
        <w:rPr>
          <w:rFonts w:ascii="Arial" w:cs="Arial" w:eastAsia="Arial" w:hAnsi="Arial"/>
          <w:sz w:val="24"/>
          <w:szCs w:val="24"/>
        </w:rPr>
        <w:t xml:space="preserve">der Frau Marion Vogelweide, Eupener Straße 218, 52066 Aachen,</w:t>
      </w:r>
    </w:p>
    <w:p>
      <w:pPr>
        <w:ind w:left="720"/>
      </w:pPr>
      <w:r>
        <w:rPr>
          <w:rFonts w:ascii="Arial" w:cs="Arial" w:eastAsia="Arial" w:hAnsi="Arial"/>
          <w:b/>
          <w:bCs/>
          <w:i/>
          <w:iCs/>
          <w:sz w:val="24"/>
          <w:szCs w:val="24"/>
        </w:rPr>
        <w:t xml:space="preserve">— Klägerin —</w:t>
      </w:r>
    </w:p>
    <w:p>
      <w:r>
        <w:t xml:space="preserve"/>
      </w:r>
    </w:p>
    <w:p>
      <w:r>
        <w:rPr>
          <w:rFonts w:ascii="Arial" w:cs="Arial" w:eastAsia="Arial" w:hAnsi="Arial"/>
          <w:sz w:val="24"/>
          <w:szCs w:val="24"/>
        </w:rPr>
        <w:t xml:space="preserve">Prozessbevollmächtigte: Dr. Annegret Müller-Hauck, Fachanwältin für Versicherungsrecht, Aureliusstraße 4, 52064 Aachen-Burtscheid</w:t>
      </w:r>
    </w:p>
    <w:p>
      <w:r>
        <w:t xml:space="preserve"/>
      </w:r>
    </w:p>
    <w:p>
      <w:r>
        <w:rPr>
          <w:rFonts w:ascii="Arial" w:cs="Arial" w:eastAsia="Arial" w:hAnsi="Arial"/>
          <w:b/>
          <w:bCs/>
          <w:sz w:val="24"/>
          <w:szCs w:val="24"/>
        </w:rPr>
        <w:t xml:space="preserve">gegen</w:t>
      </w:r>
    </w:p>
    <w:p>
      <w:r>
        <w:t xml:space="preserve"/>
      </w:r>
    </w:p>
    <w:p>
      <w:r>
        <w:rPr>
          <w:rFonts w:ascii="Arial" w:cs="Arial" w:eastAsia="Arial" w:hAnsi="Arial"/>
          <w:sz w:val="24"/>
          <w:szCs w:val="24"/>
        </w:rPr>
        <w:t xml:space="preserve">die ManagerSchutz AG, Colonia-Allee 20, 51067 Köln,</w:t>
      </w:r>
    </w:p>
    <w:p>
      <w:pPr>
        <w:ind w:left="720"/>
      </w:pPr>
      <w:r>
        <w:rPr>
          <w:rFonts w:ascii="Arial" w:cs="Arial" w:eastAsia="Arial" w:hAnsi="Arial"/>
          <w:b/>
          <w:bCs/>
          <w:i/>
          <w:iCs/>
          <w:sz w:val="24"/>
          <w:szCs w:val="24"/>
        </w:rPr>
        <w:t xml:space="preserve">— Beklagte —</w:t>
      </w:r>
    </w:p>
    <w:p>
      <w:r>
        <w:t xml:space="preserve"/>
      </w:r>
    </w:p>
    <w:p>
      <w:r>
        <w:rPr>
          <w:rFonts w:ascii="Arial" w:cs="Arial" w:eastAsia="Arial" w:hAnsi="Arial"/>
          <w:b/>
          <w:bCs/>
          <w:sz w:val="24"/>
          <w:szCs w:val="24"/>
        </w:rPr>
        <w:t xml:space="preserve">wegen: D&amp;O-Deckungsanspruch (Directors &amp; Officers Liability Insurance)</w:t>
      </w:r>
    </w:p>
    <w:p>
      <w:r>
        <w:rPr>
          <w:rFonts w:ascii="Arial" w:cs="Arial" w:eastAsia="Arial" w:hAnsi="Arial"/>
          <w:sz w:val="24"/>
          <w:szCs w:val="24"/>
        </w:rPr>
        <w:t xml:space="preserve">Streitwert: 59.000,00 EUR</w:t>
      </w:r>
    </w:p>
    <w:p>
      <w:r>
        <w:t xml:space="preserve"/>
      </w:r>
    </w:p>
    <w:p>
      <w:r>
        <w:t xml:space="preserve"/>
      </w:r>
    </w:p>
    <w:p>
      <w:pPr>
        <w:pStyle w:val="Heading1"/>
      </w:pPr>
      <w:r>
        <w:rPr>
          <w:rFonts w:ascii="Arial" w:cs="Arial" w:eastAsia="Arial" w:hAnsi="Arial"/>
          <w:b/>
          <w:bCs/>
          <w:sz w:val="26"/>
          <w:szCs w:val="26"/>
        </w:rPr>
        <w:t xml:space="preserve">Klageanträge</w:t>
      </w:r>
    </w:p>
    <w:p>
      <w:r>
        <w:t xml:space="preserve"/>
      </w:r>
    </w:p>
    <w:p>
      <w:r>
        <w:rPr>
          <w:rFonts w:ascii="Arial" w:cs="Arial" w:eastAsia="Arial" w:hAnsi="Arial"/>
          <w:sz w:val="24"/>
          <w:szCs w:val="24"/>
        </w:rPr>
        <w:t xml:space="preserve">Die Klägerin beantragt,</w:t>
      </w:r>
    </w:p>
    <w:p>
      <w:r>
        <w:t xml:space="preserve"/>
      </w:r>
    </w:p>
    <w:p>
      <w:r>
        <w:rPr>
          <w:rFonts w:ascii="Arial" w:cs="Arial" w:eastAsia="Arial" w:hAnsi="Arial"/>
          <w:sz w:val="24"/>
          <w:szCs w:val="24"/>
        </w:rPr>
        <w:t xml:space="preserve">1. die Beklagte zu verurteilen, die Klägerin im Rahmen der D&amp;O-Versicherungspolizze DMO-2018-WG-5510 hinsichtlich der Schadensersatzansprüche der St.-Antonius-Heim GmbH in Höhe von 59.000,00 EUR (Inventarverluste 41.000,00 EUR sowie Ransomware-Lösegeld 18.000,00 EUR) Deckungsschutz zu gewähren und die Klägerin freizustellen;</w:t>
      </w:r>
    </w:p>
    <w:p>
      <w:r>
        <w:t xml:space="preserve"/>
      </w:r>
    </w:p>
    <w:p>
      <w:r>
        <w:rPr>
          <w:rFonts w:ascii="Arial" w:cs="Arial" w:eastAsia="Arial" w:hAnsi="Arial"/>
          <w:sz w:val="24"/>
          <w:szCs w:val="24"/>
        </w:rPr>
        <w:t xml:space="preserve">2. die Beklagte zu verurteilen, die zur Verteidigung gegen die Ansprüche der St.-Antonius-Heim GmbH notwendigen Rechtsverteidigungskosten zu übernehmen;</w:t>
      </w:r>
    </w:p>
    <w:p>
      <w:r>
        <w:t xml:space="preserve"/>
      </w:r>
    </w:p>
    <w:p>
      <w:r>
        <w:rPr>
          <w:rFonts w:ascii="Arial" w:cs="Arial" w:eastAsia="Arial" w:hAnsi="Arial"/>
          <w:sz w:val="24"/>
          <w:szCs w:val="24"/>
        </w:rPr>
        <w:t xml:space="preserve">3. der Beklagten die Kosten des Rechtsstreits aufzuerlegen.</w:t>
      </w:r>
    </w:p>
    <w:p>
      <w:r>
        <w:t xml:space="preserve"/>
      </w:r>
    </w:p>
    <w:p>
      <w:r>
        <w:t xml:space="preserve"/>
      </w:r>
    </w:p>
    <w:p>
      <w:pPr>
        <w:pStyle w:val="Heading1"/>
      </w:pPr>
      <w:r>
        <w:rPr>
          <w:rFonts w:ascii="Arial" w:cs="Arial" w:eastAsia="Arial" w:hAnsi="Arial"/>
          <w:b/>
          <w:bCs/>
          <w:sz w:val="26"/>
          <w:szCs w:val="26"/>
        </w:rPr>
        <w:t xml:space="preserve">Sachverhalt</w:t>
      </w:r>
    </w:p>
    <w:p>
      <w:r>
        <w:t xml:space="preserve"/>
      </w:r>
    </w:p>
    <w:p>
      <w:pPr>
        <w:pStyle w:val="Heading2"/>
      </w:pPr>
      <w:r>
        <w:rPr>
          <w:rFonts w:ascii="Arial" w:cs="Arial" w:eastAsia="Arial" w:hAnsi="Arial"/>
          <w:b/>
          <w:bCs/>
          <w:sz w:val="24"/>
          <w:szCs w:val="24"/>
        </w:rPr>
        <w:t xml:space="preserve">I. Die D&amp;O-Versicherung</w:t>
      </w:r>
    </w:p>
    <w:p>
      <w:r>
        <w:rPr>
          <w:rFonts w:ascii="Arial" w:cs="Arial" w:eastAsia="Arial" w:hAnsi="Arial"/>
          <w:sz w:val="24"/>
          <w:szCs w:val="24"/>
        </w:rPr>
        <w:t xml:space="preserve">Die Vogelweide+Co Demenz-WG GmbH (HRB 22341 AG Aachen), eine 100-%-Tochtergesellschaft der St.-Antonius-Heim GmbH, hatte bei der Beklagten eine Directors &amp; Officers Liability Insurance (D&amp;O-Versicherung) unter der Polizze DMO-2018-WG-5510 abgeschlossen. Die Klägerin war als Geschäftsführerin der Vogelweide+Co Demenz-WG GmbH (12. März 2018 bis 30. September 2023) mitversicherte Person im Sinne der DMO-AVB 2018 der Beklagten.</w:t>
      </w:r>
    </w:p>
    <w:p>
      <w:r>
        <w:t xml:space="preserve"/>
      </w:r>
    </w:p>
    <w:p>
      <w:pPr>
        <w:pStyle w:val="Heading2"/>
      </w:pPr>
      <w:r>
        <w:rPr>
          <w:rFonts w:ascii="Arial" w:cs="Arial" w:eastAsia="Arial" w:hAnsi="Arial"/>
          <w:b/>
          <w:bCs/>
          <w:sz w:val="24"/>
          <w:szCs w:val="24"/>
        </w:rPr>
        <w:t xml:space="preserve">II. Die Schadensersatzklage der Muttergesellschaft</w:t>
      </w:r>
    </w:p>
    <w:p>
      <w:r>
        <w:rPr>
          <w:rFonts w:ascii="Arial" w:cs="Arial" w:eastAsia="Arial" w:hAnsi="Arial"/>
          <w:sz w:val="24"/>
          <w:szCs w:val="24"/>
        </w:rPr>
        <w:t xml:space="preserve">Die St.-Antonius-Heim GmbH hat gegen die Klägerin Schadensersatzansprüche nach § 43 GmbHG in Höhe von insgesamt 59.000,00 EUR geltend gemacht: (a) Inventarverluste in Höhe von 41.000,00 EUR ohne ausreichende Dokumentation sowie (b) eigenmächtige Lösegeldszahlung von 18.000,00 EUR für die Entschlüsselung von Patientenakten nach einem Ransomware-Angriff im November 2022.</w:t>
      </w:r>
    </w:p>
    <w:p>
      <w:r>
        <w:t xml:space="preserve"/>
      </w:r>
    </w:p>
    <w:p>
      <w:pPr>
        <w:pStyle w:val="Heading2"/>
      </w:pPr>
      <w:r>
        <w:rPr>
          <w:rFonts w:ascii="Arial" w:cs="Arial" w:eastAsia="Arial" w:hAnsi="Arial"/>
          <w:b/>
          <w:bCs/>
          <w:sz w:val="24"/>
          <w:szCs w:val="24"/>
        </w:rPr>
        <w:t xml:space="preserve">III. Deckungsablehnung und ihre Rechtswidrigkeit</w:t>
      </w:r>
    </w:p>
    <w:p>
      <w:r>
        <w:rPr>
          <w:rFonts w:ascii="Arial" w:cs="Arial" w:eastAsia="Arial" w:hAnsi="Arial"/>
          <w:sz w:val="24"/>
          <w:szCs w:val="24"/>
        </w:rPr>
        <w:t xml:space="preserve">Die Beklagte hat mit Schreiben vom 04. Januar 2026 die Deckung aus der D&amp;O-Versicherung verweigert. Sie beruft sich auf: (1) die Eigenschadenklausel, (2) die OFAC-Sanktionsklausel in § 12 Abs. 5 DMO-AVB 2018 wegen nachträglicher Listung der Empfänger-Wallet auf der US-amerikanischen SDN-Liste, sowie (3) den Vorsatzausschluss nach § 103 VVG.</w:t>
      </w:r>
    </w:p>
    <w:p>
      <w:r>
        <w:t xml:space="preserve"/>
      </w:r>
    </w:p>
    <w:p>
      <w:r>
        <w:t xml:space="preserve"/>
      </w:r>
    </w:p>
    <w:p>
      <w:pPr>
        <w:pStyle w:val="Heading1"/>
      </w:pPr>
      <w:r>
        <w:rPr>
          <w:rFonts w:ascii="Arial" w:cs="Arial" w:eastAsia="Arial" w:hAnsi="Arial"/>
          <w:b/>
          <w:bCs/>
          <w:sz w:val="26"/>
          <w:szCs w:val="26"/>
        </w:rPr>
        <w:t xml:space="preserve">Rechtliche Begründung</w:t>
      </w:r>
    </w:p>
    <w:p>
      <w:r>
        <w:t xml:space="preserve"/>
      </w:r>
    </w:p>
    <w:p>
      <w:pPr>
        <w:pStyle w:val="Heading2"/>
      </w:pPr>
      <w:r>
        <w:rPr>
          <w:rFonts w:ascii="Arial" w:cs="Arial" w:eastAsia="Arial" w:hAnsi="Arial"/>
          <w:b/>
          <w:bCs/>
          <w:sz w:val="24"/>
          <w:szCs w:val="24"/>
        </w:rPr>
        <w:t xml:space="preserve">I. Kein Eigenschaden der Versicherungsnehmerin</w:t>
      </w:r>
    </w:p>
    <w:p>
      <w:r>
        <w:rPr>
          <w:rFonts w:ascii="Arial" w:cs="Arial" w:eastAsia="Arial" w:hAnsi="Arial"/>
          <w:sz w:val="24"/>
          <w:szCs w:val="24"/>
        </w:rPr>
        <w:t xml:space="preserve">Die Eigenschadenklausel erfasst ausschließlich Ansprüche der Versicherungsnehmerin selbst gegen sich selbst. Die Versicherungsnehmerin der D&amp;O-Polizze ist die Vogelweide+Co Demenz-WG GmbH, nicht die St.-Antonius-Heim GmbH. Letztere ist als Muttergesellschaft eine außenstehende Dritte. Ihre Schadensersatzansprüche gegen die Klägerin als ehemalige Geschäftsführerin der Tochtergesellschaft sind klassische Haftpflichtansprüche, die vom Deckungsbereich der D&amp;O-Versicherung erfasst sind.</w:t>
      </w:r>
    </w:p>
    <w:p>
      <w:r>
        <w:t xml:space="preserve"/>
      </w:r>
    </w:p>
    <w:p>
      <w:pPr>
        <w:pStyle w:val="Heading2"/>
      </w:pPr>
      <w:r>
        <w:rPr>
          <w:rFonts w:ascii="Arial" w:cs="Arial" w:eastAsia="Arial" w:hAnsi="Arial"/>
          <w:b/>
          <w:bCs/>
          <w:sz w:val="24"/>
          <w:szCs w:val="24"/>
        </w:rPr>
        <w:t xml:space="preserve">II. Die OFAC-Sanktionsklausel greift nicht</w:t>
      </w:r>
    </w:p>
    <w:p>
      <w:r>
        <w:rPr>
          <w:rFonts w:ascii="Arial" w:cs="Arial" w:eastAsia="Arial" w:hAnsi="Arial"/>
          <w:sz w:val="24"/>
          <w:szCs w:val="24"/>
        </w:rPr>
        <w:t xml:space="preserve">Die Sanktionsklausel in § 12 Abs. 5 DMO-AVB 2018 ist nach eigenem Wortlaut auf die Versicherungsleistung selbst bezogen. Sie schließt Deckungsleistungen aus, die gegen Sanktionsrecht verstoßen würden. Die hier begehrte Deckungsleistung — Freistellung der Klägerin von Haftpflichtansprüchen der Muttergesellschaft — berührt keine sanktionierten Parteien. Die Empfänger-Wallet war zudem zum Zeitpunkt der Lösegeldszahlung (November 2022) nicht auf der SDN-Liste gelistet; die Listung erfolgte erst im März 2023. Eine rückwirkende Sanktionspflicht ist rechtlich nicht anerkannt (vgl. BGH IV ZR 145/19, VersR 2020, 1085). Im Übrigen richtet sich das OFAC-Recht primär an US-Personen; die Klägerin und die GmbH unterlagen keiner unmittelbaren OFAC-Bindung.</w:t>
      </w:r>
    </w:p>
    <w:p>
      <w:r>
        <w:t xml:space="preserve"/>
      </w:r>
    </w:p>
    <w:p>
      <w:pPr>
        <w:pStyle w:val="Heading2"/>
      </w:pPr>
      <w:r>
        <w:rPr>
          <w:rFonts w:ascii="Arial" w:cs="Arial" w:eastAsia="Arial" w:hAnsi="Arial"/>
          <w:b/>
          <w:bCs/>
          <w:sz w:val="24"/>
          <w:szCs w:val="24"/>
        </w:rPr>
        <w:t xml:space="preserve">III. Kein Vorsatz der Klägerin</w:t>
      </w:r>
    </w:p>
    <w:p>
      <w:r>
        <w:rPr>
          <w:rFonts w:ascii="Arial" w:cs="Arial" w:eastAsia="Arial" w:hAnsi="Arial"/>
          <w:sz w:val="24"/>
          <w:szCs w:val="24"/>
        </w:rPr>
        <w:t xml:space="preserve">Der Vorsatzausschluss nach § 103 VVG setzt voraus, dass die versicherte Person den Schaden wissentlich und willentlich herbeigeführt hat. Die Lösegeldszahlung erfolgte in einer akuten Notlage (72-Stunden-Frist, Sonntagabend, unmittelbare Gefährdung von 12 demenzkranken Bewohnern, keine erreichbare Gesellschafterin), um erheblich größere Schäden abzuwenden. Die Klägerin handelte in der Überzeugung, zum Wohle der Gesellschaft tätig zu sein. Dies schließt Vorsatz aus. Zudem hat die Klägerin die Datenpanne pflichtgemäß bei der LDI NRW gemeldet — ein Verhalten, das einem vorsätzlich handelnden Geschäftsführer widerspricht.</w:t>
      </w:r>
    </w:p>
    <w:p>
      <w:r>
        <w:t xml:space="preserve"/>
      </w:r>
    </w:p>
    <w:p>
      <w:r>
        <w:t xml:space="preserve"/>
      </w:r>
    </w:p>
    <w:p>
      <w:pPr>
        <w:jc w:val="right"/>
      </w:pPr>
      <w:r>
        <w:rPr>
          <w:rFonts w:ascii="Arial" w:cs="Arial" w:eastAsia="Arial" w:hAnsi="Arial"/>
          <w:sz w:val="24"/>
          <w:szCs w:val="24"/>
        </w:rPr>
        <w:t xml:space="preserve">Aachen, den 20. März 2026</w:t>
      </w:r>
    </w:p>
    <w:p>
      <w:r>
        <w:t xml:space="preserve"/>
      </w:r>
    </w:p>
    <w:p>
      <w:r>
        <w:t xml:space="preserve"/>
      </w:r>
    </w:p>
    <w:p>
      <w:r>
        <w:rPr>
          <w:rFonts w:ascii="Arial" w:cs="Arial" w:eastAsia="Arial" w:hAnsi="Arial"/>
          <w:sz w:val="24"/>
          <w:szCs w:val="24"/>
        </w:rPr>
        <w:t xml:space="preserve">____________________________</w:t>
      </w:r>
    </w:p>
    <w:p>
      <w:r>
        <w:rPr>
          <w:rFonts w:ascii="Arial" w:cs="Arial" w:eastAsia="Arial" w:hAnsi="Arial"/>
          <w:b/>
          <w:bCs/>
          <w:sz w:val="24"/>
          <w:szCs w:val="24"/>
        </w:rPr>
        <w:t xml:space="preserve">Dr. Annegret Müller-Hauck</w:t>
      </w:r>
    </w:p>
    <w:p>
      <w:r>
        <w:rPr>
          <w:rFonts w:ascii="Arial" w:cs="Arial" w:eastAsia="Arial" w:hAnsi="Arial"/>
          <w:sz w:val="24"/>
          <w:szCs w:val="24"/>
        </w:rPr>
        <w:t xml:space="preserve">Fachanwältin für Versicherungsrecht</w:t>
      </w:r>
    </w:p>
    <w:sectPr>
      <w:pgSz w:w="11906" w:h="16838" w:orient="portrait"/>
      <w:pgMar w:top="1440" w:right="1134" w:bottom="1440" w:left="1701"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2026-05-30T15:53:23.211Z</dcterms:created>
  <dcterms:modified xsi:type="dcterms:W3CDTF">2026-05-30T15:53:23.211Z</dcterms:modified>
</cp:coreProperties>
</file>

<file path=docProps/custom.xml><?xml version="1.0" encoding="utf-8"?>
<Properties xmlns="http://schemas.openxmlformats.org/officeDocument/2006/custom-properties" xmlns:vt="http://schemas.openxmlformats.org/officeDocument/2006/docPropsVTypes"/>
</file>