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sz w:val="22"/>
          <w:szCs w:val="22"/>
        </w:rPr>
        <w:t xml:space="preserve">Hammerschmidt, Sommerfeldt &amp; Partner Rechtsanwälte</w:t>
      </w:r>
    </w:p>
    <w:p>
      <w:pPr>
        <w:spacing w:after="160"/>
      </w:pPr>
      <w:r>
        <w:rPr>
          <w:rFonts w:ascii="Arial" w:cs="Arial" w:eastAsia="Arial" w:hAnsi="Arial"/>
          <w:sz w:val="22"/>
          <w:szCs w:val="22"/>
        </w:rPr>
        <w:t xml:space="preserve">Neuer Wall 30 | 20354 Hamburg | Tel.: +49 40 41881 0</w:t>
      </w:r>
    </w:p>
    <w:p>
      <w:pPr>
        <w:spacing w:after="160"/>
      </w:pPr>
      <w:r>
        <w:rPr>
          <w:rFonts w:ascii="Arial" w:cs="Arial" w:eastAsia="Arial" w:hAnsi="Arial"/>
          <w:sz w:val="22"/>
          <w:szCs w:val="22"/>
        </w:rPr>
        <w:t xml:space="preserve">RAin Dr. Antonia Hammerschmidt | Fachanwältin für Transport- und Speditionsrecht</w:t>
      </w:r>
    </w:p>
    <w:p>
      <w:pPr>
        <w:spacing w:after="100"/>
      </w:pPr>
    </w:p>
    <w:p>
      <w:pPr>
        <w:spacing w:after="60"/>
      </w:pPr>
      <w:r>
        <w:rPr>
          <w:rFonts w:ascii="Arial" w:cs="Arial" w:eastAsia="Arial" w:hAnsi="Arial"/>
          <w:b/>
          <w:bCs/>
          <w:sz w:val="22"/>
          <w:szCs w:val="22"/>
        </w:rPr>
        <w:t xml:space="preserve">Landgericht Hannover</w:t>
      </w:r>
    </w:p>
    <w:p>
      <w:pPr>
        <w:spacing w:after="160"/>
      </w:pPr>
      <w:r>
        <w:rPr>
          <w:rFonts w:ascii="Arial" w:cs="Arial" w:eastAsia="Arial" w:hAnsi="Arial"/>
          <w:sz w:val="22"/>
          <w:szCs w:val="22"/>
        </w:rPr>
        <w:t xml:space="preserve">Vorsitzende Richterin am LG Dr. Helga Krumbach</w:t>
      </w:r>
    </w:p>
    <w:p>
      <w:pPr>
        <w:spacing w:after="160"/>
      </w:pPr>
      <w:r>
        <w:rPr>
          <w:rFonts w:ascii="Arial" w:cs="Arial" w:eastAsia="Arial" w:hAnsi="Arial"/>
          <w:sz w:val="22"/>
          <w:szCs w:val="22"/>
        </w:rPr>
        <w:t xml:space="preserve">Kammer für Handelssachen — 13. Kammer</w:t>
      </w:r>
    </w:p>
    <w:p>
      <w:pPr>
        <w:spacing w:after="160"/>
      </w:pPr>
      <w:r>
        <w:rPr>
          <w:rFonts w:ascii="Arial" w:cs="Arial" w:eastAsia="Arial" w:hAnsi="Arial"/>
          <w:sz w:val="22"/>
          <w:szCs w:val="22"/>
        </w:rPr>
        <w:t xml:space="preserve">Volgersweg 65</w:t>
      </w:r>
    </w:p>
    <w:p>
      <w:pPr>
        <w:spacing w:after="160"/>
      </w:pPr>
      <w:r>
        <w:rPr>
          <w:rFonts w:ascii="Arial" w:cs="Arial" w:eastAsia="Arial" w:hAnsi="Arial"/>
          <w:sz w:val="22"/>
          <w:szCs w:val="22"/>
        </w:rPr>
        <w:t xml:space="preserve">30175 Hannover</w:t>
      </w:r>
    </w:p>
    <w:p>
      <w:pPr>
        <w:spacing w:after="100"/>
      </w:pPr>
    </w:p>
    <w:p>
      <w:pPr>
        <w:spacing w:after="240"/>
        <w:jc w:val="right"/>
      </w:pPr>
      <w:r>
        <w:rPr>
          <w:rFonts w:ascii="Arial" w:cs="Arial" w:eastAsia="Arial" w:hAnsi="Arial"/>
          <w:sz w:val="22"/>
          <w:szCs w:val="22"/>
        </w:rPr>
        <w:t xml:space="preserve">Hamburg, 15. Mai 2026</w:t>
      </w:r>
    </w:p>
    <w:p>
      <w:pPr>
        <w:spacing w:after="160"/>
      </w:pPr>
      <w:r>
        <w:rPr>
          <w:rFonts w:ascii="Arial" w:cs="Arial" w:eastAsia="Arial" w:hAnsi="Arial"/>
          <w:b/>
          <w:bCs/>
          <w:sz w:val="22"/>
          <w:szCs w:val="22"/>
        </w:rPr>
        <w:t xml:space="preserve">Aktenzeichen: LG Hannover 9 O 244/26</w:t>
      </w:r>
    </w:p>
    <w:p>
      <w:pPr>
        <w:spacing w:after="80"/>
      </w:pPr>
      <w:r>
        <w:rPr>
          <w:rFonts w:ascii="Arial" w:cs="Arial" w:eastAsia="Arial" w:hAnsi="Arial"/>
          <w:b/>
          <w:bCs/>
          <w:sz w:val="22"/>
          <w:szCs w:val="22"/>
        </w:rPr>
        <w:t xml:space="preserve">In dem Rechtsstreit</w:t>
      </w:r>
    </w:p>
    <w:p>
      <w:pPr>
        <w:spacing w:after="160"/>
      </w:pPr>
      <w:r>
        <w:rPr>
          <w:rFonts w:ascii="Arial" w:cs="Arial" w:eastAsia="Arial" w:hAnsi="Arial"/>
          <w:sz w:val="22"/>
          <w:szCs w:val="22"/>
        </w:rPr>
        <w:t xml:space="preserve">MediVita SE, Moritzstraße 7, 42103 Wuppertal</w:t>
      </w:r>
    </w:p>
    <w:p>
      <w:pPr>
        <w:spacing w:after="160"/>
      </w:pPr>
      <w:r>
        <w:rPr>
          <w:rFonts w:ascii="Arial" w:cs="Arial" w:eastAsia="Arial" w:hAnsi="Arial"/>
          <w:i/>
          <w:iCs/>
          <w:sz w:val="22"/>
          <w:szCs w:val="22"/>
        </w:rPr>
        <w:t xml:space="preserve">— Klägerin —</w:t>
      </w:r>
    </w:p>
    <w:p>
      <w:pPr>
        <w:spacing w:after="160"/>
      </w:pPr>
      <w:r>
        <w:rPr>
          <w:rFonts w:ascii="Arial" w:cs="Arial" w:eastAsia="Arial" w:hAnsi="Arial"/>
          <w:sz w:val="22"/>
          <w:szCs w:val="22"/>
        </w:rPr>
        <w:t xml:space="preserve">gegen</w:t>
      </w:r>
    </w:p>
    <w:p>
      <w:pPr>
        <w:spacing w:after="160"/>
      </w:pPr>
      <w:r>
        <w:rPr>
          <w:rFonts w:ascii="Arial" w:cs="Arial" w:eastAsia="Arial" w:hAnsi="Arial"/>
          <w:sz w:val="22"/>
          <w:szCs w:val="22"/>
        </w:rPr>
        <w:t xml:space="preserve">Schwarmstedt Logistik GmbH, Bahnhofstraße 44, 29690 Schwarmstedt</w:t>
      </w:r>
    </w:p>
    <w:p>
      <w:pPr>
        <w:spacing w:after="160"/>
      </w:pPr>
      <w:r>
        <w:rPr>
          <w:rFonts w:ascii="Arial" w:cs="Arial" w:eastAsia="Arial" w:hAnsi="Arial"/>
          <w:sz w:val="22"/>
          <w:szCs w:val="22"/>
        </w:rPr>
        <w:t xml:space="preserve">— vertreten durch Hammerschmidt, Sommerfeldt &amp; Partner Rechtsanwälte —</w:t>
      </w:r>
    </w:p>
    <w:p>
      <w:pPr>
        <w:spacing w:after="240"/>
      </w:pPr>
      <w:r>
        <w:rPr>
          <w:rFonts w:ascii="Arial" w:cs="Arial" w:eastAsia="Arial" w:hAnsi="Arial"/>
          <w:i/>
          <w:iCs/>
          <w:sz w:val="22"/>
          <w:szCs w:val="22"/>
        </w:rPr>
        <w:t xml:space="preserve">— Beklagte —</w:t>
      </w:r>
    </w:p>
    <w:p>
      <w:pPr>
        <w:spacing w:after="400" w:before="200"/>
        <w:jc w:val="center"/>
        <w:rPr>
          <w:sz w:val="28"/>
          <w:szCs w:val="28"/>
        </w:rPr>
      </w:pPr>
      <w:r>
        <w:rPr>
          <w:rFonts w:ascii="Arial" w:cs="Arial" w:eastAsia="Arial" w:hAnsi="Arial"/>
          <w:b/>
          <w:bCs/>
          <w:sz w:val="22"/>
          <w:szCs w:val="22"/>
        </w:rPr>
        <w:t xml:space="preserve">KLAGEERWIDERUNG</w:t>
      </w:r>
    </w:p>
    <w:p>
      <w:pPr>
        <w:pStyle w:val="Heading1"/>
        <w:spacing w:after="200" w:before="400"/>
      </w:pPr>
      <w:r>
        <w:t xml:space="preserve">I. Namens und mit Vollmacht der Beklagten beantragen wir:</w:t>
      </w:r>
    </w:p>
    <w:p>
      <w:pPr>
        <w:spacing w:after="120"/>
      </w:pPr>
      <w:r>
        <w:rPr>
          <w:rFonts w:ascii="Arial" w:cs="Arial" w:eastAsia="Arial" w:hAnsi="Arial"/>
          <w:sz w:val="22"/>
          <w:szCs w:val="22"/>
        </w:rPr>
        <w:t xml:space="preserve">1. Die Klage wird abgewiesen.</w:t>
      </w:r>
    </w:p>
    <w:p>
      <w:pPr>
        <w:spacing w:after="120"/>
      </w:pPr>
      <w:r>
        <w:rPr>
          <w:rFonts w:ascii="Arial" w:cs="Arial" w:eastAsia="Arial" w:hAnsi="Arial"/>
          <w:sz w:val="22"/>
          <w:szCs w:val="22"/>
        </w:rPr>
        <w:t xml:space="preserve">2. Hilfsweise: Die Haftung der Beklagten wird auf 3.603,45 EUR zzgl. Zinsen begrenzt (Art. 23 Abs. 3 CMR).</w:t>
      </w:r>
    </w:p>
    <w:p>
      <w:pPr>
        <w:spacing w:after="240"/>
      </w:pPr>
      <w:r>
        <w:rPr>
          <w:rFonts w:ascii="Arial" w:cs="Arial" w:eastAsia="Arial" w:hAnsi="Arial"/>
          <w:sz w:val="22"/>
          <w:szCs w:val="22"/>
        </w:rPr>
        <w:t xml:space="preserve">3. Die Klägerin trägt die Kosten des Rechtsstreits.</w:t>
      </w:r>
    </w:p>
    <w:p>
      <w:pPr>
        <w:pStyle w:val="Heading1"/>
        <w:spacing w:after="200" w:before="400"/>
      </w:pPr>
      <w:r>
        <w:t xml:space="preserve">II. Zur Zulässigkeit</w:t>
      </w:r>
    </w:p>
    <w:p>
      <w:pPr>
        <w:spacing w:after="160"/>
      </w:pPr>
      <w:r>
        <w:rPr>
          <w:rFonts w:ascii="Arial" w:cs="Arial" w:eastAsia="Arial" w:hAnsi="Arial"/>
          <w:sz w:val="22"/>
          <w:szCs w:val="22"/>
        </w:rPr>
        <w:t xml:space="preserve">Gegen die Zuständigkeit des Landgerichts Hannover als Gericht des allgemeinen Gerichtsstands der Beklagten (§ 17 Abs. 1 ZPO) werden keine Einwände erhoben.</w:t>
      </w:r>
    </w:p>
    <w:p>
      <w:pPr>
        <w:pStyle w:val="Heading1"/>
        <w:spacing w:after="200" w:before="400"/>
      </w:pPr>
      <w:r>
        <w:t xml:space="preserve">III. Zur Begründetheit — Sachverhalt aus Sicht der Beklagten</w:t>
      </w:r>
    </w:p>
    <w:p>
      <w:pPr>
        <w:pStyle w:val="Heading2"/>
        <w:spacing w:after="150" w:before="300"/>
      </w:pPr>
      <w:r>
        <w:t xml:space="preserve">A. Der Transportauftrag und der CMR-Frachtbrief</w:t>
      </w:r>
    </w:p>
    <w:p>
      <w:pPr>
        <w:spacing w:after="160"/>
      </w:pPr>
      <w:r>
        <w:rPr>
          <w:rFonts w:ascii="Arial" w:cs="Arial" w:eastAsia="Arial" w:hAnsi="Arial"/>
          <w:sz w:val="22"/>
          <w:szCs w:val="22"/>
        </w:rPr>
        <w:t xml:space="preserve">Die Beklagte, Schwarmstedt Logistik GmbH (nachfolgend: "Schwarmstedt"), hat auf Grundlage des Speditionsauftrags der Klägerin MediVita SE vom 18. Dezember 2025 (Ref. MV-LOG-2025-8812) die Beförderung temperaturgefühlter Pharmawaren von Wuppertal an die Universitätsklinik Lyon (HCL) übernommen. Als CMR-Frachtbrief gilt der unter Nr. CMR-2026-DE-001-0018 ausgestellte Frachtbrief vom 12. Januar 2026.</w:t>
      </w:r>
    </w:p>
    <w:p>
      <w:pPr>
        <w:spacing w:after="160"/>
      </w:pPr>
      <w:r>
        <w:rPr>
          <w:rFonts w:ascii="Arial" w:cs="Arial" w:eastAsia="Arial" w:hAnsi="Arial"/>
          <w:sz w:val="22"/>
          <w:szCs w:val="22"/>
        </w:rPr>
        <w:t xml:space="preserve">Die Beklagte hat die Petrescu Transport SRL (Bukarest, EU-Lizenz ROM CIV Nr. B-22-09761, gültig bis 30.06.2026) als Unterfrachtführerin beauftragt. Die Petrescu Transport SRL ist seit mehr als zwei Jahren als Subunternehmer der Beklagten tätig und war bis zum streitgegenständlichen Transport ohne Beanstandungen.</w:t>
      </w:r>
    </w:p>
    <w:p>
      <w:pPr>
        <w:pStyle w:val="Heading2"/>
        <w:spacing w:after="150" w:before="300"/>
      </w:pPr>
      <w:r>
        <w:t xml:space="preserve">B. Das Schadensereignis</w:t>
      </w:r>
    </w:p>
    <w:p>
      <w:pPr>
        <w:spacing w:after="160"/>
      </w:pPr>
      <w:r>
        <w:rPr>
          <w:rFonts w:ascii="Arial" w:cs="Arial" w:eastAsia="Arial" w:hAnsi="Arial"/>
          <w:sz w:val="22"/>
          <w:szCs w:val="22"/>
        </w:rPr>
        <w:t xml:space="preserve">Am 14. Januar 2026 zwischen 03:18 Uhr und 03:54 Uhr MEZ registrierte der Temperaturlogger DataTrack 4000 (Loggernr. DT4-2025-7783) im Kühlauflieger der Petrescu Transport SRL eine Temperaturüberschreitung auf bis zu +14,3°C. Die Dauer betrug 36 Minuten. Nach derzeitigem Erkenntnisstand ist die Ursache dieser Temperaturüberschreitung nicht abschließend geklärt.</w:t>
      </w:r>
    </w:p>
    <w:p>
      <w:pPr>
        <w:pStyle w:val="Heading1"/>
        <w:spacing w:after="200" w:before="400"/>
      </w:pPr>
      <w:r>
        <w:t xml:space="preserve">IV. Rechtliche Würdigung — Art. 23 Abs. 3 CMR als Haftungsbegrenzung</w:t>
      </w:r>
    </w:p>
    <w:p>
      <w:pPr>
        <w:pStyle w:val="Heading2"/>
        <w:spacing w:after="150" w:before="300"/>
      </w:pPr>
      <w:r>
        <w:t xml:space="preserve">A. Anwendbarkeit der CMR</w:t>
      </w:r>
    </w:p>
    <w:p>
      <w:pPr>
        <w:spacing w:after="160"/>
      </w:pPr>
      <w:r>
        <w:rPr>
          <w:rFonts w:ascii="Arial" w:cs="Arial" w:eastAsia="Arial" w:hAnsi="Arial"/>
          <w:sz w:val="22"/>
          <w:szCs w:val="22"/>
        </w:rPr>
        <w:t xml:space="preserve">Die CMR ist gemäß Art. 1 Abs. 1 CMR anwendbar, da Übernahmeort (Wuppertal, Deutschland) und Ablieferungsort (Lyon, Frankreich) in verschiedenen Vertragsstaaten der CMR liegen.</w:t>
      </w:r>
    </w:p>
    <w:p>
      <w:pPr>
        <w:pStyle w:val="Heading2"/>
        <w:spacing w:after="150" w:before="300"/>
      </w:pPr>
      <w:r>
        <w:t xml:space="preserve">B. Grundhaftung nach Art. 17 Abs. 1 CMR — nicht streitig</w:t>
      </w:r>
    </w:p>
    <w:p>
      <w:pPr>
        <w:spacing w:after="160"/>
      </w:pPr>
      <w:r>
        <w:rPr>
          <w:rFonts w:ascii="Arial" w:cs="Arial" w:eastAsia="Arial" w:hAnsi="Arial"/>
          <w:sz w:val="22"/>
          <w:szCs w:val="22"/>
        </w:rPr>
        <w:t xml:space="preserve">Die Beklagte bestreitet nicht, dass grundsätzlich eine Haftung nach Art. 17 Abs. 1 CMR für den Temperaturschaden besteht.</w:t>
      </w:r>
    </w:p>
    <w:p>
      <w:pPr>
        <w:pStyle w:val="Heading2"/>
        <w:spacing w:after="150" w:before="300"/>
      </w:pPr>
      <w:r>
        <w:t xml:space="preserve">C. Haftungshöchstgrenze nach Art. 23 Abs. 3 CMR</w:t>
      </w:r>
    </w:p>
    <w:p>
      <w:pPr>
        <w:spacing w:after="160"/>
      </w:pPr>
      <w:r>
        <w:rPr>
          <w:rFonts w:ascii="Arial" w:cs="Arial" w:eastAsia="Arial" w:hAnsi="Arial"/>
          <w:sz w:val="22"/>
          <w:szCs w:val="22"/>
        </w:rPr>
        <w:t xml:space="preserve">Die Haftung ist gemäß Art. 23 Abs. 3 CMR auf 8,33 Sonderziehungsrechte (SZR) pro Kilogramm Rohgewicht begrenzt. Das im CMR-Frachtbrief deklarierte Bruttogewicht beträgt 348 kg.</w:t>
      </w:r>
    </w:p>
    <w:p>
      <w:pPr>
        <w:spacing w:after="160"/>
      </w:pPr>
      <w:r>
        <w:rPr>
          <w:rFonts w:ascii="Arial" w:cs="Arial" w:eastAsia="Arial" w:hAnsi="Arial"/>
          <w:sz w:val="22"/>
          <w:szCs w:val="22"/>
        </w:rPr>
        <w:t xml:space="preserve">Berechnung: 348 kg × 8,33 SZR/kg = 2.898,84 SZR. Zum SZR-Tageskurs des 14. Januar 2026 (1 SZR = 1,2427 EUR, Quelle: IWF SDR Valuation Bulletin): 2.898,84 × 1,2427 = 3.603,45 EUR.</w:t>
      </w:r>
    </w:p>
    <w:p>
      <w:pPr>
        <w:spacing w:after="160"/>
      </w:pPr>
      <w:r>
        <w:rPr>
          <w:rFonts w:ascii="Arial" w:cs="Arial" w:eastAsia="Arial" w:hAnsi="Arial"/>
          <w:b/>
          <w:bCs/>
          <w:sz w:val="22"/>
          <w:szCs w:val="22"/>
        </w:rPr>
        <w:t xml:space="preserve">Die Haftung der Beklagten ist daher auf 3.603,45 EUR begrenzt.</w:t>
      </w:r>
    </w:p>
    <w:p>
      <w:pPr>
        <w:pStyle w:val="Heading2"/>
        <w:spacing w:after="150" w:before="300"/>
      </w:pPr>
      <w:r>
        <w:t xml:space="preserve">D. Kein grobes Verschulden nach Art. 29 CMR</w:t>
      </w:r>
    </w:p>
    <w:p>
      <w:pPr>
        <w:spacing w:after="160"/>
      </w:pPr>
      <w:r>
        <w:rPr>
          <w:rFonts w:ascii="Arial" w:cs="Arial" w:eastAsia="Arial" w:hAnsi="Arial"/>
          <w:sz w:val="22"/>
          <w:szCs w:val="22"/>
        </w:rPr>
        <w:t xml:space="preserve">Art. 29 CMR setzt nach ständiger Rechtsprechung des Bundesgerichtshofs (BGH I ZR 128/00, TranspR 2003, 255) "leichtfertiges Handeln in dem Bewusstsein, dass ein Schaden mit Wahrscheinlichkeit eintreten werde" voraus. Die Beweislast trägt die Klägerin.</w:t>
      </w:r>
    </w:p>
    <w:p>
      <w:pPr>
        <w:spacing w:after="160"/>
      </w:pPr>
      <w:r>
        <w:rPr>
          <w:rFonts w:ascii="Arial" w:cs="Arial" w:eastAsia="Arial" w:hAnsi="Arial"/>
          <w:sz w:val="22"/>
          <w:szCs w:val="22"/>
        </w:rPr>
        <w:t xml:space="preserve">Die wahrscheinliche Ursache der Temperaturüberschreitung ist nach dem Sachverständigenbefund von Prof. Dr.-Ing. Kretschmann (Vorläufiges Gutachten TUH-KT-2026-0088 vom 22. März 2026) ein technischer Defekt des Carrier-Kühlaggregats — nicht ein Fahrerfehler. Ein technischer Gerätesausfall begründet kein leichtfertiges Handeln im Sinne von Art. 29 CMR.</w:t>
      </w:r>
    </w:p>
    <w:p>
      <w:pPr>
        <w:spacing w:after="160"/>
      </w:pPr>
      <w:r>
        <w:rPr>
          <w:rFonts w:ascii="Arial" w:cs="Arial" w:eastAsia="Arial" w:hAnsi="Arial"/>
          <w:sz w:val="22"/>
          <w:szCs w:val="22"/>
        </w:rPr>
        <w:t xml:space="preserve">Selbst wenn man einen Fahrerüberwachungsfehler annähme: Das Schlafen des Fahrers während der gesetzlich vorgeschriebenen Ruhepause nach Art. 8 VO (EG) Nr. 561/2006 erfüllt nicht das subjektive Bewusstseinsmoment des Art. 29 CMR. Der DataTrack 4000 Alarm hat — nach Erkenntnissen des Sachverständigen Kretschmann — möglicherweise wegen eines Gerätdefekts oder GSM-Funklochproblems nicht ausgelöst. Der schlafende Fahrer konnte die Temperaturüberschreitung daher nicht wahrnehmen.</w:t>
      </w:r>
    </w:p>
    <w:p>
      <w:pPr>
        <w:pStyle w:val="Heading2"/>
        <w:spacing w:after="150" w:before="300"/>
      </w:pPr>
      <w:r>
        <w:t xml:space="preserve">E. Mitverschulden der Klägerin</w:t>
      </w:r>
    </w:p>
    <w:p>
      <w:pPr>
        <w:spacing w:after="160"/>
      </w:pPr>
      <w:r>
        <w:rPr>
          <w:rFonts w:ascii="Arial" w:cs="Arial" w:eastAsia="Arial" w:hAnsi="Arial"/>
          <w:sz w:val="22"/>
          <w:szCs w:val="22"/>
        </w:rPr>
        <w:t xml:space="preserve">Die Klägerin hat trotz eines Warenwerts von 12.441.600 EUR weder eine Wertdeklaration nach Art. 24 CMR noch ein Sonderinteresse nach Art. 26 CMR erklärt. Diese Unterlassung bei einem Warenwert, der das 3.450-Fache des CMR-Haftungsmaximums übersteigt, ist als erhebliches Mitverschulden (§ 254 BGB analog, Art. 17 Abs. 5 CMR) einzubeziehen.</w:t>
      </w:r>
    </w:p>
    <w:p>
      <w:pPr>
        <w:pStyle w:val="Heading1"/>
        <w:spacing w:after="200" w:before="400"/>
      </w:pPr>
      <w:r>
        <w:t xml:space="preserve">V. Zur Folgeschadenforderung (250.000 EUR)</w:t>
      </w:r>
    </w:p>
    <w:p>
      <w:pPr>
        <w:spacing w:after="160"/>
      </w:pPr>
      <w:r>
        <w:rPr>
          <w:rFonts w:ascii="Arial" w:cs="Arial" w:eastAsia="Arial" w:hAnsi="Arial"/>
          <w:sz w:val="22"/>
          <w:szCs w:val="22"/>
        </w:rPr>
        <w:t xml:space="preserve">Folgeschäden sind nach Art. 23 Abs. 1 CMR nicht als Entschädigung für den Verlust der Güter zu erstatten. Die CMR sieht kein Recht auf Ersatz mittelbarer Schäden (Consequential Damages) vor; dies gilt auch für Patientenbehandlungskosten der HCL Lyon (OLG München, Urt. v. 28.11.2012 — 7 U 1398/12, TranspR 2013, 107). Die Folgeschadenforderung ist abzuweisen.</w:t>
      </w:r>
    </w:p>
    <w:p>
      <w:pPr>
        <w:pStyle w:val="Heading1"/>
        <w:spacing w:after="200" w:before="400"/>
      </w:pPr>
      <w:r>
        <w:t xml:space="preserve">VI. Beweisangebote der Beklagten</w:t>
      </w:r>
    </w:p>
    <w:p>
      <w:pPr>
        <w:spacing w:after="160"/>
      </w:pPr>
      <w:r>
        <w:rPr>
          <w:rFonts w:ascii="Arial" w:cs="Arial" w:eastAsia="Arial" w:hAnsi="Arial"/>
          <w:sz w:val="22"/>
          <w:szCs w:val="22"/>
        </w:rPr>
        <w:t xml:space="preserve">Beweis: Sachverständigengutachten Prof. Dr.-Ing. Horst Kretschmann, TU Hamburg-Harburg — zu Schadensursache, Alarmversagen DataTrack 4000 und Box-Innentemperaturen.</w:t>
      </w:r>
    </w:p>
    <w:p>
      <w:pPr>
        <w:spacing w:after="160"/>
      </w:pPr>
      <w:r>
        <w:rPr>
          <w:rFonts w:ascii="Arial" w:cs="Arial" w:eastAsia="Arial" w:hAnsi="Arial"/>
          <w:sz w:val="22"/>
          <w:szCs w:val="22"/>
        </w:rPr>
        <w:t xml:space="preserve">Beweis: Zeuge Catalin Petrescu (Fahrer) — zu Fahrtablauf, Ruhezeit, Alarmwahrnehmung.</w:t>
      </w:r>
    </w:p>
    <w:p>
      <w:pPr>
        <w:spacing w:after="160"/>
      </w:pPr>
      <w:r>
        <w:rPr>
          <w:rFonts w:ascii="Arial" w:cs="Arial" w:eastAsia="Arial" w:hAnsi="Arial"/>
          <w:sz w:val="22"/>
          <w:szCs w:val="22"/>
        </w:rPr>
        <w:t xml:space="preserve">Beweis: Zeuge Eberhard Funkbruch (GF Schwarmstedt) — zu Subunternehmerauswahl, GDP-Maßnahmen.</w:t>
      </w:r>
    </w:p>
    <w:p>
      <w:pPr>
        <w:spacing w:after="160"/>
      </w:pPr>
      <w:r>
        <w:rPr>
          <w:rFonts w:ascii="Arial" w:cs="Arial" w:eastAsia="Arial" w:hAnsi="Arial"/>
          <w:sz w:val="22"/>
          <w:szCs w:val="22"/>
        </w:rPr>
        <w:t xml:space="preserve">Beweis: Urkunde — DataTrack 4000 Rohdaten (CSV-Datei DT4-2025-7783).</w:t>
      </w:r>
    </w:p>
    <w:p>
      <w:pPr>
        <w:spacing w:after="160"/>
      </w:pPr>
      <w:r>
        <w:rPr>
          <w:rFonts w:ascii="Arial" w:cs="Arial" w:eastAsia="Arial" w:hAnsi="Arial"/>
          <w:sz w:val="22"/>
          <w:szCs w:val="22"/>
        </w:rPr>
        <w:t xml:space="preserve">Beweis: Urkunde — Wartungsprotokoll Kühlaggregat Carrier Transicold (Übersetzung beantragt).</w:t>
      </w:r>
    </w:p>
    <w:p>
      <w:pPr>
        <w:spacing w:after="160"/>
      </w:pPr>
      <w:r>
        <w:rPr>
          <w:rFonts w:ascii="Arial" w:cs="Arial" w:eastAsia="Arial" w:hAnsi="Arial"/>
          <w:sz w:val="22"/>
          <w:szCs w:val="22"/>
        </w:rPr>
        <w:t xml:space="preserve">Es wird beantragt, ein gerichtliches Sachverständigengutachten zu den Fragen der Schadensursache und des tatsächlichen Produktschadens einzuholen.</w:t>
      </w:r>
    </w:p>
    <w:p>
      <w:pPr>
        <w:spacing w:after="100"/>
      </w:pPr>
    </w:p>
    <w:p>
      <w:pPr>
        <w:spacing w:after="80"/>
      </w:pPr>
      <w:r>
        <w:rPr>
          <w:rFonts w:ascii="Arial" w:cs="Arial" w:eastAsia="Arial" w:hAnsi="Arial"/>
          <w:b/>
          <w:bCs/>
          <w:sz w:val="22"/>
          <w:szCs w:val="22"/>
        </w:rPr>
        <w:t xml:space="preserve">Hamburg, den 15. Mai 2026</w:t>
      </w:r>
    </w:p>
    <w:p>
      <w:pPr>
        <w:spacing w:after="100"/>
      </w:pPr>
    </w:p>
    <w:p>
      <w:pPr>
        <w:spacing w:after="100"/>
      </w:pPr>
    </w:p>
    <w:p>
      <w:pPr>
        <w:spacing w:after="160"/>
      </w:pPr>
      <w:r>
        <w:rPr>
          <w:rFonts w:ascii="Arial" w:cs="Arial" w:eastAsia="Arial" w:hAnsi="Arial"/>
          <w:sz w:val="22"/>
          <w:szCs w:val="22"/>
        </w:rPr>
        <w:t xml:space="preserve">RAin Dr. Antonia Hammerschmidt</w:t>
      </w:r>
    </w:p>
    <w:p>
      <w:pPr>
        <w:spacing w:after="160"/>
      </w:pPr>
      <w:r>
        <w:rPr>
          <w:rFonts w:ascii="Arial" w:cs="Arial" w:eastAsia="Arial" w:hAnsi="Arial"/>
          <w:sz w:val="22"/>
          <w:szCs w:val="22"/>
        </w:rPr>
        <w:t xml:space="preserve">Hammerschmidt, Sommerfeldt &amp; Partner Rechtsanwälte</w:t>
      </w:r>
    </w:p>
    <w:p>
      <w:pPr>
        <w:spacing w:after="160"/>
      </w:pPr>
      <w:r>
        <w:rPr>
          <w:rFonts w:ascii="Arial" w:cs="Arial" w:eastAsia="Arial" w:hAnsi="Arial"/>
          <w:sz w:val="22"/>
          <w:szCs w:val="22"/>
        </w:rPr>
        <w:t xml:space="preserve">(Fachanwältin für Transport- und Speditionsrecht)</w:t>
      </w:r>
    </w:p>
    <w:sectPr>
      <w:headerReference w:type="default" r:id="rId7"/>
      <w:footerReference w:type="default" r:id="rId8"/>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666666"/>
        <w:sz w:val="18"/>
        <w:szCs w:val="18"/>
      </w:rPr>
      <w:t xml:space="preserve">LG Hannover 9 O 244/26 — Klageerwiderung | Seite </w:t>
    </w:r>
    <w:r>
      <w:rPr>
        <w:rFonts w:ascii="Arial" w:cs="Arial" w:eastAsia="Arial" w:hAnsi="Arial"/>
        <w:color w:val="666666"/>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r>
      <w:rPr>
        <w:rFonts w:ascii="Arial" w:cs="Arial" w:eastAsia="Arial" w:hAnsi="Arial"/>
        <w:color w:val="444444"/>
        <w:sz w:val="18"/>
        <w:szCs w:val="18"/>
      </w:rPr>
      <w:t xml:space="preserve">Hammerschmidt, Sommerfeldt &amp; Partner Rechtsanwälte | Neuer Wall 30 | 20354 Hamburg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2026-05-30T17:34:35.933Z</dcterms:created>
  <dcterms:modified xsi:type="dcterms:W3CDTF">2026-05-30T17:34:35.933Z</dcterms:modified>
</cp:coreProperties>
</file>

<file path=docProps/custom.xml><?xml version="1.0" encoding="utf-8"?>
<Properties xmlns="http://schemas.openxmlformats.org/officeDocument/2006/custom-properties" xmlns:vt="http://schemas.openxmlformats.org/officeDocument/2006/docPropsVTypes"/>
</file>