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sz w:val="22"/>
          <w:szCs w:val="22"/>
        </w:rPr>
        <w:t xml:space="preserve">Hammerschmidt, Sommerfeldt &amp; Partner Rechtsanwälte</w:t>
      </w:r>
    </w:p>
    <w:p>
      <w:pPr>
        <w:spacing w:after="160"/>
      </w:pPr>
      <w:r>
        <w:rPr>
          <w:rFonts w:ascii="Arial" w:cs="Arial" w:eastAsia="Arial" w:hAnsi="Arial"/>
          <w:sz w:val="22"/>
          <w:szCs w:val="22"/>
        </w:rPr>
        <w:t xml:space="preserve">Neuer Wall 30 | 20354 Hamburg | Tel.: +49 40 41881 0</w:t>
      </w:r>
    </w:p>
    <w:p>
      <w:pPr>
        <w:spacing w:after="160"/>
      </w:pPr>
      <w:r>
        <w:rPr>
          <w:rFonts w:ascii="Arial" w:cs="Arial" w:eastAsia="Arial" w:hAnsi="Arial"/>
          <w:sz w:val="22"/>
          <w:szCs w:val="22"/>
        </w:rPr>
        <w:t xml:space="preserve">RA Michael Sommerfeldt | Fachanwalt für Versicherungsrecht</w:t>
      </w:r>
    </w:p>
    <w:p>
      <w:pPr>
        <w:spacing w:after="100"/>
      </w:pPr>
    </w:p>
    <w:p>
      <w:pPr>
        <w:spacing w:after="60"/>
      </w:pPr>
      <w:r>
        <w:rPr>
          <w:rFonts w:ascii="Arial" w:cs="Arial" w:eastAsia="Arial" w:hAnsi="Arial"/>
          <w:b/>
          <w:bCs/>
          <w:sz w:val="22"/>
          <w:szCs w:val="22"/>
        </w:rPr>
        <w:t xml:space="preserve">Landgericht Hamburg</w:t>
      </w:r>
    </w:p>
    <w:p>
      <w:pPr>
        <w:spacing w:after="160"/>
      </w:pPr>
      <w:r>
        <w:rPr>
          <w:rFonts w:ascii="Arial" w:cs="Arial" w:eastAsia="Arial" w:hAnsi="Arial"/>
          <w:sz w:val="22"/>
          <w:szCs w:val="22"/>
        </w:rPr>
        <w:t xml:space="preserve">Kammer 11 für Handelssachen</w:t>
      </w:r>
    </w:p>
    <w:p>
      <w:pPr>
        <w:spacing w:after="160"/>
      </w:pPr>
      <w:r>
        <w:rPr>
          <w:rFonts w:ascii="Arial" w:cs="Arial" w:eastAsia="Arial" w:hAnsi="Arial"/>
          <w:sz w:val="22"/>
          <w:szCs w:val="22"/>
        </w:rPr>
        <w:t xml:space="preserve">Sievekingplatz 1</w:t>
      </w:r>
    </w:p>
    <w:p>
      <w:pPr>
        <w:spacing w:after="160"/>
      </w:pPr>
      <w:r>
        <w:rPr>
          <w:rFonts w:ascii="Arial" w:cs="Arial" w:eastAsia="Arial" w:hAnsi="Arial"/>
          <w:sz w:val="22"/>
          <w:szCs w:val="22"/>
        </w:rPr>
        <w:t xml:space="preserve">20355 Hamburg</w:t>
      </w:r>
    </w:p>
    <w:p>
      <w:pPr>
        <w:spacing w:after="100"/>
      </w:pPr>
    </w:p>
    <w:p>
      <w:pPr>
        <w:spacing w:after="240"/>
        <w:jc w:val="right"/>
      </w:pPr>
      <w:r>
        <w:rPr>
          <w:rFonts w:ascii="Arial" w:cs="Arial" w:eastAsia="Arial" w:hAnsi="Arial"/>
          <w:sz w:val="22"/>
          <w:szCs w:val="22"/>
        </w:rPr>
        <w:t xml:space="preserve">Hamburg, 22. Mai 2026</w:t>
      </w:r>
    </w:p>
    <w:p>
      <w:pPr>
        <w:spacing w:after="400" w:before="200"/>
        <w:jc w:val="center"/>
      </w:pPr>
      <w:r>
        <w:rPr>
          <w:rFonts w:ascii="Arial" w:cs="Arial" w:eastAsia="Arial" w:hAnsi="Arial"/>
          <w:b/>
          <w:bCs/>
          <w:sz w:val="22"/>
          <w:szCs w:val="22"/>
        </w:rPr>
        <w:t xml:space="preserve">KLAGESCHRIFT</w:t>
      </w:r>
    </w:p>
    <w:p>
      <w:pPr>
        <w:spacing w:after="160"/>
      </w:pPr>
      <w:r>
        <w:rPr>
          <w:rFonts w:ascii="Arial" w:cs="Arial" w:eastAsia="Arial" w:hAnsi="Arial"/>
          <w:sz w:val="22"/>
          <w:szCs w:val="22"/>
        </w:rPr>
        <w:t xml:space="preserve">In der Sache</w:t>
      </w:r>
    </w:p>
    <w:p>
      <w:pPr>
        <w:spacing w:after="160"/>
      </w:pPr>
      <w:r>
        <w:rPr>
          <w:rFonts w:ascii="Arial" w:cs="Arial" w:eastAsia="Arial" w:hAnsi="Arial"/>
          <w:sz w:val="22"/>
          <w:szCs w:val="22"/>
        </w:rPr>
        <w:t xml:space="preserve">Schwarmstedt Logistik GmbH, Bahnhofstraße 44, 29690 Schwarmstedt</w:t>
      </w:r>
    </w:p>
    <w:p>
      <w:pPr>
        <w:spacing w:after="120"/>
      </w:pPr>
      <w:r>
        <w:rPr>
          <w:rFonts w:ascii="Arial" w:cs="Arial" w:eastAsia="Arial" w:hAnsi="Arial"/>
          <w:i/>
          <w:iCs/>
          <w:sz w:val="22"/>
          <w:szCs w:val="22"/>
        </w:rPr>
        <w:t xml:space="preserve">— Klägerin —</w:t>
      </w:r>
    </w:p>
    <w:p>
      <w:pPr>
        <w:spacing w:after="160"/>
      </w:pPr>
      <w:r>
        <w:rPr>
          <w:rFonts w:ascii="Arial" w:cs="Arial" w:eastAsia="Arial" w:hAnsi="Arial"/>
          <w:sz w:val="22"/>
          <w:szCs w:val="22"/>
        </w:rPr>
        <w:t xml:space="preserve">gegen</w:t>
      </w:r>
    </w:p>
    <w:p>
      <w:pPr>
        <w:spacing w:after="160"/>
      </w:pPr>
      <w:r>
        <w:rPr>
          <w:rFonts w:ascii="Arial" w:cs="Arial" w:eastAsia="Arial" w:hAnsi="Arial"/>
          <w:sz w:val="22"/>
          <w:szCs w:val="22"/>
        </w:rPr>
        <w:t xml:space="preserve">Helvetia Versicherungen AG, Weißfrauenstraße 9, 60311 Frankfurt am Main</w:t>
      </w:r>
    </w:p>
    <w:p>
      <w:pPr>
        <w:spacing w:after="240"/>
      </w:pPr>
      <w:r>
        <w:rPr>
          <w:rFonts w:ascii="Arial" w:cs="Arial" w:eastAsia="Arial" w:hAnsi="Arial"/>
          <w:i/>
          <w:iCs/>
          <w:sz w:val="22"/>
          <w:szCs w:val="22"/>
        </w:rPr>
        <w:t xml:space="preserve">— Beklagte —</w:t>
      </w:r>
    </w:p>
    <w:p>
      <w:pPr>
        <w:pStyle w:val="Heading1"/>
        <w:spacing w:after="200" w:before="400"/>
      </w:pPr>
      <w:r>
        <w:t xml:space="preserve">I. Anträge</w:t>
      </w:r>
    </w:p>
    <w:p>
      <w:pPr>
        <w:spacing w:after="160"/>
      </w:pPr>
      <w:r>
        <w:rPr>
          <w:rFonts w:ascii="Arial" w:cs="Arial" w:eastAsia="Arial" w:hAnsi="Arial"/>
          <w:sz w:val="22"/>
          <w:szCs w:val="22"/>
        </w:rPr>
        <w:t xml:space="preserve">1. Die Beklagte wird verurteilt, an die Klägerin 2.500.000 EUR nebst Zinsen in Höhe von 5 Prozentpunkten über dem Basiszinssatz seit dem 12. Februar 2026 (Datum der Deckungsablehnung) zu zahlen.</w:t>
      </w:r>
    </w:p>
    <w:p>
      <w:pPr>
        <w:spacing w:after="160"/>
      </w:pPr>
      <w:r>
        <w:rPr>
          <w:rFonts w:ascii="Arial" w:cs="Arial" w:eastAsia="Arial" w:hAnsi="Arial"/>
          <w:sz w:val="22"/>
          <w:szCs w:val="22"/>
        </w:rPr>
        <w:t xml:space="preserve">2. Die Beklagte trägt die Kosten des Rechtsstreits.</w:t>
      </w:r>
    </w:p>
    <w:p>
      <w:pPr>
        <w:spacing w:after="160"/>
      </w:pPr>
      <w:r>
        <w:rPr>
          <w:rFonts w:ascii="Arial" w:cs="Arial" w:eastAsia="Arial" w:hAnsi="Arial"/>
          <w:sz w:val="22"/>
          <w:szCs w:val="22"/>
        </w:rPr>
        <w:t xml:space="preserve">3. Das Urteil ist vorläufig vollstreckbar.</w:t>
      </w:r>
    </w:p>
    <w:p>
      <w:pPr>
        <w:pStyle w:val="Heading1"/>
        <w:spacing w:after="200" w:before="400"/>
      </w:pPr>
      <w:r>
        <w:t xml:space="preserve">II. Sachverhalt</w:t>
      </w:r>
    </w:p>
    <w:p>
      <w:pPr>
        <w:pStyle w:val="Heading2"/>
        <w:spacing w:after="150" w:before="300"/>
      </w:pPr>
      <w:r>
        <w:t xml:space="preserve">A. Versicherungsverhältnis</w:t>
      </w:r>
    </w:p>
    <w:p>
      <w:pPr>
        <w:spacing w:after="160"/>
      </w:pPr>
      <w:r>
        <w:rPr>
          <w:rFonts w:ascii="Arial" w:cs="Arial" w:eastAsia="Arial" w:hAnsi="Arial"/>
          <w:sz w:val="22"/>
          <w:szCs w:val="22"/>
        </w:rPr>
        <w:t xml:space="preserve">Die Klägerin unterhält bei der Beklagten eine Speditions- und Lagerversicherung (Police Nr. 74-SL-8832-2024, gültig ab 01.01.2024, Jahresprämie: 84.000 EUR netto). Die Deckungssumme beträgt 2.500.000 EUR je Schadensfall. Grundlage sind die AVB-Speditions-Haftpflichtversicherung 2020 (GDV-Muster).</w:t>
      </w:r>
    </w:p>
    <w:p>
      <w:pPr>
        <w:pStyle w:val="Heading2"/>
        <w:spacing w:after="150" w:before="300"/>
      </w:pPr>
      <w:r>
        <w:t xml:space="preserve">B. Schadensereignis und Schadensanzeige</w:t>
      </w:r>
    </w:p>
    <w:p>
      <w:pPr>
        <w:spacing w:after="160"/>
      </w:pPr>
      <w:r>
        <w:rPr>
          <w:rFonts w:ascii="Arial" w:cs="Arial" w:eastAsia="Arial" w:hAnsi="Arial"/>
          <w:sz w:val="22"/>
          <w:szCs w:val="22"/>
        </w:rPr>
        <w:t xml:space="preserve">Am 14. Januar 2026 erlitt die Klägerin bei einem CMR-Transport temperaturgefühlter Pharmawaren einen Kühlkettenbruch auf der Strecke A6 Bourg-en-Bresse — Lyon. Den Schaden hat MediVita SE mit 8.208.000 EUR beziffert; Klage wurde beim LG Hannover (Az. 9 O 244/26) eingereicht.</w:t>
      </w:r>
    </w:p>
    <w:p>
      <w:pPr>
        <w:spacing w:after="160"/>
      </w:pPr>
      <w:r>
        <w:rPr>
          <w:rFonts w:ascii="Arial" w:cs="Arial" w:eastAsia="Arial" w:hAnsi="Arial"/>
          <w:sz w:val="22"/>
          <w:szCs w:val="22"/>
        </w:rPr>
        <w:t xml:space="preserve">Die Klägerin hat den Schadensfall am 19. Januar 2026 ihrem Versicherungsmakler (Trankversicherung Nord) gemeldet.</w:t>
      </w:r>
    </w:p>
    <w:p>
      <w:pPr>
        <w:pStyle w:val="Heading2"/>
        <w:spacing w:after="150" w:before="300"/>
      </w:pPr>
      <w:r>
        <w:t xml:space="preserve">C. Deckungsablehnung der Beklagten</w:t>
      </w:r>
    </w:p>
    <w:p>
      <w:pPr>
        <w:spacing w:after="160"/>
      </w:pPr>
      <w:r>
        <w:rPr>
          <w:rFonts w:ascii="Arial" w:cs="Arial" w:eastAsia="Arial" w:hAnsi="Arial"/>
          <w:sz w:val="22"/>
          <w:szCs w:val="22"/>
        </w:rPr>
        <w:t xml:space="preserve">Die Beklagte hat mit Schreiben vom 12. Februar 2026 (Az. SL-2026-00198) die Deckung mit der Begründung abgelehnt, die Schadensmeldung sei nicht innerhalb von 72 Stunden nach Kenntnis des Schadensereignisses erfolgt (§ 31 AVB-Spedition 2020).</w:t>
      </w:r>
    </w:p>
    <w:p>
      <w:pPr>
        <w:pStyle w:val="Heading1"/>
        <w:spacing w:after="200" w:before="400"/>
      </w:pPr>
      <w:r>
        <w:t xml:space="preserve">III. Rechtliche Würdigung</w:t>
      </w:r>
    </w:p>
    <w:p>
      <w:pPr>
        <w:pStyle w:val="Heading2"/>
        <w:spacing w:after="150" w:before="300"/>
      </w:pPr>
      <w:r>
        <w:t xml:space="preserve">A. Kenntnis des versicherten Schadens — nicht am 14. Januar 2026</w:t>
      </w:r>
    </w:p>
    <w:p>
      <w:pPr>
        <w:spacing w:after="160"/>
      </w:pPr>
      <w:r>
        <w:rPr>
          <w:rFonts w:ascii="Arial" w:cs="Arial" w:eastAsia="Arial" w:hAnsi="Arial"/>
          <w:sz w:val="22"/>
          <w:szCs w:val="22"/>
        </w:rPr>
        <w:t xml:space="preserve">Die 72-Stunden-Frist des § 31 AVB-Spedition 2020 beginnt nach zutreffender Auslegung nicht mit der Kenntnis des "schadenauslösenden Ereignisses", sondern mit der Kenntnis, dass ein versicherter Schaden in haftungsrelevantem Ausmaß eingetreten ist. Erst mit Vorliegen des ersten QS-Ergebnisses am 17. Januar 2026 hatte die Klägerin Kenntnis von einem definitiven Versicherungsfall. Die Meldung erfolgte am 19. Januar 2026 — innerhalb von 48 Stunden und damit fristgerecht.</w:t>
      </w:r>
    </w:p>
    <w:p>
      <w:pPr>
        <w:pStyle w:val="Heading2"/>
        <w:spacing w:after="150" w:before="300"/>
      </w:pPr>
      <w:r>
        <w:t xml:space="preserve">B. Keine erhebliche Obliegenheitsverletzung</w:t>
      </w:r>
    </w:p>
    <w:p>
      <w:pPr>
        <w:spacing w:after="160"/>
      </w:pPr>
      <w:r>
        <w:rPr>
          <w:rFonts w:ascii="Arial" w:cs="Arial" w:eastAsia="Arial" w:hAnsi="Arial"/>
          <w:sz w:val="22"/>
          <w:szCs w:val="22"/>
        </w:rPr>
        <w:t xml:space="preserve">Selbst bei Annahme einer Obliegenheitsverletzung wäre diese nicht auf vorsätzliches oder grob fahrlässiges Handeln zurückzuführen (§ 28 Abs. 2 VVG). Die Klägerin hat zunächst eine einvernehmliche Lösung mit MediVita gesucht — ein kaufmännisch vernünftiges Verhalten, das keine grobe Fahrlässigkeit begründet.</w:t>
      </w:r>
    </w:p>
    <w:p>
      <w:pPr>
        <w:pStyle w:val="Heading2"/>
        <w:spacing w:after="150" w:before="300"/>
      </w:pPr>
      <w:r>
        <w:t xml:space="preserve">C. Keine Kausalität der verspäteten Meldung</w:t>
      </w:r>
    </w:p>
    <w:p>
      <w:pPr>
        <w:spacing w:after="160"/>
      </w:pPr>
      <w:r>
        <w:rPr>
          <w:rFonts w:ascii="Arial" w:cs="Arial" w:eastAsia="Arial" w:hAnsi="Arial"/>
          <w:sz w:val="22"/>
          <w:szCs w:val="22"/>
        </w:rPr>
        <w:t xml:space="preserve">Nach § 28 Abs. 4 VVG (Relevanzklausel) führt eine Obliegenheitsverletzung nur dann zur Leistungsfreiheit, wenn die Verletzung die Feststellung des Versicherungsfalls oder die Schadensermittlung beeinflusst hat. Dies ist nicht der Fall: Die Schäden waren durch das QS-Labor von MediVita SE lückenlos dokumentiert; eine frühere Meldung hätte an der Schadenshöhe nichts geändert.</w:t>
      </w:r>
    </w:p>
    <w:p>
      <w:pPr>
        <w:pStyle w:val="Heading2"/>
        <w:spacing w:after="150" w:before="300"/>
      </w:pPr>
      <w:r>
        <w:t xml:space="preserve">D. Keine anzeigepflichtige Gefahrerhöhung durch die Klägerin</w:t>
      </w:r>
    </w:p>
    <w:p>
      <w:pPr>
        <w:spacing w:after="160"/>
      </w:pPr>
      <w:r>
        <w:rPr>
          <w:rFonts w:ascii="Arial" w:cs="Arial" w:eastAsia="Arial" w:hAnsi="Arial"/>
          <w:sz w:val="22"/>
          <w:szCs w:val="22"/>
        </w:rPr>
        <w:t xml:space="preserve">Die Sub-Sub-Vergabe durch Petrescu Transport SRL an Cojocaru Flota SRL erfolgte ohne Wissen und Genehmigung der Klägerin. Eine Anzeigepflicht nach § 23 VVG trifft den Versicherungsnehmer nur für selbst veranlasste Gefahrerhöhungen — nicht für eigenmächtige Handlungen Dritter.</w:t>
      </w:r>
    </w:p>
    <w:p>
      <w:pPr>
        <w:pStyle w:val="Heading1"/>
        <w:spacing w:after="200" w:before="400"/>
      </w:pPr>
      <w:r>
        <w:t xml:space="preserve">IV. Zuständigkeit</w:t>
      </w:r>
    </w:p>
    <w:p>
      <w:pPr>
        <w:spacing w:after="160"/>
      </w:pPr>
      <w:r>
        <w:rPr>
          <w:rFonts w:ascii="Arial" w:cs="Arial" w:eastAsia="Arial" w:hAnsi="Arial"/>
          <w:sz w:val="22"/>
          <w:szCs w:val="22"/>
        </w:rPr>
        <w:t xml:space="preserve">Das LG Hamburg ist nach § 215 ZPO (Klägergerichtsstand Versicherungsverhältnis, Klägerin Sitz in Wohnort-Landkreis Hannover, nächstes Landgericht Sitz-Hamburg) zuständig; zudem führt die 11. Kammer für Handelssachen (LG Hamburg) als spezialisierte Kammer regelmäßig Versicherungsstreitigkeiten aus dem Transportsektor.</w:t>
      </w:r>
    </w:p>
    <w:p>
      <w:pPr>
        <w:spacing w:after="100"/>
      </w:pPr>
    </w:p>
    <w:p>
      <w:pPr>
        <w:spacing w:after="80"/>
      </w:pPr>
      <w:r>
        <w:rPr>
          <w:rFonts w:ascii="Arial" w:cs="Arial" w:eastAsia="Arial" w:hAnsi="Arial"/>
          <w:b/>
          <w:bCs/>
          <w:sz w:val="22"/>
          <w:szCs w:val="22"/>
        </w:rPr>
        <w:t xml:space="preserve">Hamburg, den 22. Mai 2026</w:t>
      </w:r>
    </w:p>
    <w:p>
      <w:pPr>
        <w:spacing w:after="100"/>
      </w:pPr>
    </w:p>
    <w:p>
      <w:pPr>
        <w:spacing w:after="100"/>
      </w:pPr>
    </w:p>
    <w:p>
      <w:pPr>
        <w:spacing w:after="160"/>
      </w:pPr>
      <w:r>
        <w:rPr>
          <w:rFonts w:ascii="Arial" w:cs="Arial" w:eastAsia="Arial" w:hAnsi="Arial"/>
          <w:sz w:val="22"/>
          <w:szCs w:val="22"/>
        </w:rPr>
        <w:t xml:space="preserve">RA Michael Sommerfeldt</w:t>
      </w:r>
    </w:p>
    <w:p>
      <w:pPr>
        <w:spacing w:after="160"/>
      </w:pPr>
      <w:r>
        <w:rPr>
          <w:rFonts w:ascii="Arial" w:cs="Arial" w:eastAsia="Arial" w:hAnsi="Arial"/>
          <w:sz w:val="22"/>
          <w:szCs w:val="22"/>
        </w:rPr>
        <w:t xml:space="preserve">Hammerschmidt, Sommerfeldt &amp; Partner Rechtsanwälte</w:t>
      </w:r>
    </w:p>
    <w:p>
      <w:pPr>
        <w:spacing w:after="160"/>
      </w:pPr>
      <w:r>
        <w:rPr>
          <w:rFonts w:ascii="Arial" w:cs="Arial" w:eastAsia="Arial" w:hAnsi="Arial"/>
          <w:sz w:val="22"/>
          <w:szCs w:val="22"/>
        </w:rPr>
        <w:t xml:space="preserve">(Fachanwalt für Versicherungsrecht)</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66666"/>
        <w:sz w:val="18"/>
        <w:szCs w:val="18"/>
      </w:rPr>
      <w:t xml:space="preserve">LG Hamburg 327 O 88/26 — Klageschrift | Seite </w:t>
    </w:r>
    <w:r>
      <w:rPr>
        <w:rFonts w:ascii="Arial" w:cs="Arial" w:eastAsia="Arial" w:hAnsi="Arial"/>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rPr>
        <w:rFonts w:ascii="Arial" w:cs="Arial" w:eastAsia="Arial" w:hAnsi="Arial"/>
        <w:color w:val="444444"/>
        <w:sz w:val="18"/>
        <w:szCs w:val="18"/>
      </w:rPr>
      <w:t xml:space="preserve">Hammerschmidt, Sommerfeldt &amp; Partner Rechtsanwälte | Hamburg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2026-05-30T17:34:36.019Z</dcterms:created>
  <dcterms:modified xsi:type="dcterms:W3CDTF">2026-05-30T17:34:36.019Z</dcterms:modified>
</cp:coreProperties>
</file>

<file path=docProps/custom.xml><?xml version="1.0" encoding="utf-8"?>
<Properties xmlns="http://schemas.openxmlformats.org/officeDocument/2006/custom-properties" xmlns:vt="http://schemas.openxmlformats.org/officeDocument/2006/docPropsVTypes"/>
</file>