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jc w:val="center"/>
      </w:pPr>
      <w:r>
        <w:rPr>
          <w:b/>
          <w:bCs/>
          <w:color w:val="1a3a5c"/>
          <w:sz w:val="28"/>
          <w:szCs w:val="28"/>
        </w:rPr>
        <w:t xml:space="preserve">KANZLEI PFLUEGER SCHOENEBERG BANKRECHT</w:t>
      </w:r>
    </w:p>
    <w:p>
      <w:pPr>
        <w:spacing w:after="400"/>
        <w:jc w:val="center"/>
      </w:pPr>
      <w:r>
        <w:rPr>
          <w:color w:val="555555"/>
          <w:sz w:val="18"/>
          <w:szCs w:val="18"/>
        </w:rPr>
        <w:t xml:space="preserve">Am Markt 14 - 28195 Bremen</w:t>
      </w:r>
    </w:p>
    <w:p>
      <w:pPr>
        <w:spacing w:after="80"/>
      </w:pPr>
      <w:r>
        <w:rPr>
          <w:b/>
          <w:bCs/>
          <w:sz w:val="22"/>
          <w:szCs w:val="22"/>
        </w:rPr>
        <w:t xml:space="preserve">An die Bundesanstalt fuer Finanzdienstleistungsaufsicht (BaFin)</w:t>
      </w:r>
    </w:p>
    <w:p>
      <w:pPr>
        <w:spacing w:after="80"/>
      </w:pPr>
      <w:r>
        <w:rPr>
          <w:sz w:val="22"/>
          <w:szCs w:val="22"/>
        </w:rPr>
        <w:t xml:space="preserve">Referat WA 54 - Kryptowerte / DLT</w:t>
      </w:r>
    </w:p>
    <w:p>
      <w:pPr>
        <w:spacing w:after="400"/>
      </w:pPr>
      <w:r>
        <w:rPr>
          <w:sz w:val="22"/>
          <w:szCs w:val="22"/>
        </w:rPr>
        <w:t xml:space="preserve">Graurheindorfer Str. 108, 53117 Bonn</w:t>
      </w:r>
    </w:p>
    <w:p>
      <w:pPr>
        <w:spacing w:after="400"/>
      </w:pPr>
      <w:r>
        <w:rPr>
          <w:sz w:val="22"/>
          <w:szCs w:val="22"/>
        </w:rPr>
        <w:t xml:space="preserve">Bremen, 14. April 2026</w:t>
      </w:r>
    </w:p>
    <w:p>
      <w:pPr>
        <w:spacing w:after="150"/>
        <w:jc w:val="center"/>
      </w:pPr>
      <w:r>
        <w:rPr>
          <w:b/>
          <w:bCs/>
          <w:color w:val="1a3a5c"/>
          <w:sz w:val="32"/>
          <w:szCs w:val="32"/>
        </w:rPr>
        <w:t xml:space="preserve">BAFIN-ANZEIGE</w:t>
      </w:r>
    </w:p>
    <w:p>
      <w:pPr>
        <w:spacing w:after="400"/>
        <w:jc w:val="center"/>
      </w:pPr>
      <w:r>
        <w:rPr>
          <w:color w:val="555555"/>
          <w:sz w:val="22"/>
          <w:szCs w:val="22"/>
        </w:rPr>
        <w:t xml:space="preserve">Verdacht des unerlaubten Angebots von Kryptowerten nach MiCA Art. 59 / Art. 16 und Par. 32 KWG</w:t>
      </w:r>
    </w:p>
    <w:p>
      <w:pPr>
        <w:spacing w:after="300"/>
      </w:pPr>
      <w:r>
        <w:rPr>
          <w:b/>
          <w:bCs/>
          <w:sz w:val="22"/>
          <w:szCs w:val="22"/>
        </w:rPr>
        <w:t xml:space="preserve">Mandantin: Eva-Maria Wittfeldt, 28757 Bremen | Schaden: 387.420,00 EUR</w:t>
      </w:r>
    </w:p>
    <w:p>
      <w:pPr>
        <w:pStyle w:val="Heading2"/>
        <w:spacing w:after="200"/>
      </w:pPr>
      <w:r>
        <w:t xml:space="preserve">I. Sachverhalt</w:t>
      </w:r>
    </w:p>
    <w:p>
      <w:pPr>
        <w:spacing w:after="300"/>
      </w:pPr>
      <w:r>
        <w:rPr>
          <w:sz w:val="22"/>
          <w:szCs w:val="22"/>
        </w:rPr>
        <w:t xml:space="preserve">Unsere Mandantin wurde im Zeitraum September 2024 bis Maerz 2025 durch die betruegerische Plattform CryptoFutureMax.io um 387.420,00 EUR geschaedigt. Die Plattform bewirbt einen sog. USDT Stablecoin Arbitrage Pool mit monatlichen Renditen von 8-18 % und nahm EUR-Betraege entgegen, ohne ueber die nach MiCA und KWG erforderlichen Zulassungen zu verfuegen.</w:t>
      </w:r>
    </w:p>
    <w:p>
      <w:pPr>
        <w:pStyle w:val="Heading2"/>
        <w:spacing w:after="200"/>
      </w:pPr>
      <w:r>
        <w:t xml:space="preserve">II. Rechtliche Einordnung</w:t>
      </w:r>
    </w:p>
    <w:p>
      <w:pPr>
        <w:spacing w:after="150"/>
      </w:pPr>
      <w:r>
        <w:rPr>
          <w:b/>
          <w:bCs/>
          <w:sz w:val="22"/>
          <w:szCs w:val="22"/>
        </w:rPr>
        <w:t xml:space="preserve">1. MiCA Art. 59: </w:t>
      </w:r>
      <w:r>
        <w:rPr>
          <w:sz w:val="22"/>
          <w:szCs w:val="22"/>
        </w:rPr>
        <w:t xml:space="preserve">CryptoFutureMax.io erbringt Kryptowertedienstleistungen ohne CASP-Zulassung nach Art. 59 Abs. 1 MiCA (VO (EU) 2023/1114, seit 30.12.2024 in Kraft).</w:t>
      </w:r>
    </w:p>
    <w:p>
      <w:pPr>
        <w:spacing w:after="150"/>
      </w:pPr>
      <w:r>
        <w:rPr>
          <w:b/>
          <w:bCs/>
          <w:sz w:val="22"/>
          <w:szCs w:val="22"/>
        </w:rPr>
        <w:t xml:space="preserve">2. MiCA Art. 16: </w:t>
      </w:r>
      <w:r>
        <w:rPr>
          <w:sz w:val="22"/>
          <w:szCs w:val="22"/>
        </w:rPr>
        <w:t xml:space="preserve">Das Portfolio kombiniert USDT (EMT) und BTC, was auf einen Asset-Referenced Token hindeutet. Angebot ohne Genehmigung verboten.</w:t>
      </w:r>
    </w:p>
    <w:p>
      <w:pPr>
        <w:spacing w:after="150"/>
      </w:pPr>
      <w:r>
        <w:rPr>
          <w:b/>
          <w:bCs/>
          <w:sz w:val="22"/>
          <w:szCs w:val="22"/>
        </w:rPr>
        <w:t xml:space="preserve">3. Par. 32 KWG: </w:t>
      </w:r>
      <w:r>
        <w:rPr>
          <w:sz w:val="22"/>
          <w:szCs w:val="22"/>
        </w:rPr>
        <w:t xml:space="preserve">Entgegennahme von Einlagen ohne BaFin-Erlaubnis; strafbar nach Par. 54 KWG. Keine Erlaubnis im BaFin-Register ersichtlich.</w:t>
      </w:r>
    </w:p>
    <w:p>
      <w:pPr>
        <w:spacing w:after="300"/>
      </w:pPr>
      <w:r>
        <w:rPr>
          <w:b/>
          <w:bCs/>
          <w:sz w:val="22"/>
          <w:szCs w:val="22"/>
        </w:rPr>
        <w:t xml:space="preserve">4. MiCA Art. 7: </w:t>
      </w:r>
      <w:r>
        <w:rPr>
          <w:sz w:val="22"/>
          <w:szCs w:val="22"/>
        </w:rPr>
        <w:t xml:space="preserve">Irresfuehrendes Marketing mit Phantomrenditen; DKIM FAIL, PHP-Backend -- kein serioeser Finanzdienstleister.</w:t>
      </w:r>
    </w:p>
    <w:p>
      <w:pPr>
        <w:pStyle w:val="Heading2"/>
        <w:spacing w:after="200"/>
      </w:pPr>
      <w:r>
        <w:t xml:space="preserve">III. Technische Informationen zur Plattform</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p>
            <w:r>
              <w:rPr>
                <w:b/>
                <w:bCs/>
                <w:color w:val="FFFFFF"/>
                <w:sz w:val="20"/>
                <w:szCs w:val="20"/>
              </w:rPr>
              <w:t xml:space="preserve">Parameter</w:t>
            </w:r>
          </w:p>
        </w:tc>
        <w:tc>
          <w:p>
            <w:r>
              <w:rPr>
                <w:b/>
                <w:bCs/>
                <w:color w:val="FFFFFF"/>
                <w:sz w:val="20"/>
                <w:szCs w:val="20"/>
              </w:rPr>
              <w:t xml:space="preserve">Wert</w:t>
            </w:r>
          </w:p>
        </w:tc>
      </w:tr>
      <w:tr>
        <w:tc>
          <w:p>
            <w:r>
              <w:rPr>
                <w:sz w:val="20"/>
                <w:szCs w:val="20"/>
              </w:rPr>
              <w:t xml:space="preserve">Domain</w:t>
            </w:r>
          </w:p>
        </w:tc>
        <w:tc>
          <w:p>
            <w:r>
              <w:rPr>
                <w:sz w:val="20"/>
                <w:szCs w:val="20"/>
              </w:rPr>
              <w:t xml:space="preserve">cryptofuturemax.io</w:t>
            </w:r>
          </w:p>
        </w:tc>
      </w:tr>
      <w:tr>
        <w:tc>
          <w:p>
            <w:r>
              <w:rPr>
                <w:sz w:val="20"/>
                <w:szCs w:val="20"/>
              </w:rPr>
              <w:t xml:space="preserve">Registrar</w:t>
            </w:r>
          </w:p>
        </w:tc>
        <w:tc>
          <w:p>
            <w:r>
              <w:rPr>
                <w:sz w:val="20"/>
                <w:szCs w:val="20"/>
              </w:rPr>
              <w:t xml:space="preserve">Namecheap Inc.</w:t>
            </w:r>
          </w:p>
        </w:tc>
      </w:tr>
      <w:tr>
        <w:tc>
          <w:p>
            <w:r>
              <w:rPr>
                <w:sz w:val="20"/>
                <w:szCs w:val="20"/>
              </w:rPr>
              <w:t xml:space="preserve">Hoster</w:t>
            </w:r>
          </w:p>
        </w:tc>
        <w:tc>
          <w:p>
            <w:r>
              <w:rPr>
                <w:sz w:val="20"/>
                <w:szCs w:val="20"/>
              </w:rPr>
              <w:t xml:space="preserve">Serverius B.V., Amsterdam (NL)</w:t>
            </w:r>
          </w:p>
        </w:tc>
      </w:tr>
      <w:tr>
        <w:tc>
          <w:p>
            <w:r>
              <w:rPr>
                <w:sz w:val="20"/>
                <w:szCs w:val="20"/>
              </w:rPr>
              <w:t xml:space="preserve">Domain-Registrierung</w:t>
            </w:r>
          </w:p>
        </w:tc>
        <w:tc>
          <w:p>
            <w:r>
              <w:rPr>
                <w:sz w:val="20"/>
                <w:szCs w:val="20"/>
              </w:rPr>
              <w:t xml:space="preserve">22.07.2024</w:t>
            </w:r>
          </w:p>
        </w:tc>
      </w:tr>
      <w:tr>
        <w:tc>
          <w:p>
            <w:r>
              <w:rPr>
                <w:sz w:val="20"/>
                <w:szCs w:val="20"/>
              </w:rPr>
              <w:t xml:space="preserve">Schwesterdomain</w:t>
            </w:r>
          </w:p>
        </w:tc>
        <w:tc>
          <w:p>
            <w:r>
              <w:rPr>
                <w:sz w:val="20"/>
                <w:szCs w:val="20"/>
              </w:rPr>
              <w:t xml:space="preserve">cryptofuturemax-eu.io (reg. 01.03.2025)</w:t>
            </w:r>
          </w:p>
        </w:tc>
      </w:tr>
    </w:tbl>
    <w:p>
      <w:pPr>
        <w:spacing w:after="300"/>
      </w:pPr>
    </w:p>
    <w:p>
      <w:pPr>
        <w:pStyle w:val="Heading2"/>
        <w:spacing w:after="200"/>
      </w:pPr>
      <w:r>
        <w:t xml:space="preserve">IV. Antraege</w:t>
      </w:r>
    </w:p>
    <w:p>
      <w:pPr>
        <w:spacing w:after="100"/>
      </w:pPr>
      <w:r>
        <w:rPr>
          <w:sz w:val="22"/>
          <w:szCs w:val="22"/>
        </w:rPr>
        <w:t xml:space="preserve">1. Einleitung von Ermittlungen wegen Verstoss gegen Art. 59 MiCA, Art. 16 MiCA und Par. 32 KWG.</w:t>
      </w:r>
    </w:p>
    <w:p>
      <w:pPr>
        <w:spacing w:after="100"/>
      </w:pPr>
      <w:r>
        <w:rPr>
          <w:sz w:val="22"/>
          <w:szCs w:val="22"/>
        </w:rPr>
        <w:t xml:space="preserve">2. Erlass einer oeffentlichen Warnung / Allgemeinverfuegung nach Art. 94 MiCA.</w:t>
      </w:r>
    </w:p>
    <w:p>
      <w:pPr>
        <w:spacing w:after="100"/>
      </w:pPr>
      <w:r>
        <w:rPr>
          <w:sz w:val="22"/>
          <w:szCs w:val="22"/>
        </w:rPr>
        <w:t xml:space="preserve">3. Europaeische Koordination mit ESMA, CySEC, FCA und Malta MFSA.</w:t>
      </w:r>
    </w:p>
    <w:p>
      <w:pPr>
        <w:spacing w:after="400"/>
      </w:pPr>
      <w:r>
        <w:rPr>
          <w:sz w:val="22"/>
          <w:szCs w:val="22"/>
        </w:rPr>
        <w:t xml:space="preserve">4. Rueckmeldung an die Kanzlei ueber Verfahrensaufnahme.</w:t>
      </w:r>
    </w:p>
    <w:p>
      <w:pPr>
        <w:spacing w:after="200"/>
      </w:pPr>
      <w:r>
        <w:rPr>
          <w:sz w:val="22"/>
          <w:szCs w:val="22"/>
        </w:rPr>
        <w:t xml:space="preserve">Bremen, 14. April 2026</w:t>
      </w:r>
    </w:p>
    <w:p>
      <w:pPr>
        <w:spacing w:after="80"/>
      </w:pPr>
      <w:r>
        <w:rPr>
          <w:b/>
          <w:bCs/>
          <w:sz w:val="22"/>
          <w:szCs w:val="22"/>
        </w:rPr>
        <w:t xml:space="preserve">Rechtsanwalt Dr. Severin Pflueger</w:t>
      </w:r>
    </w:p>
    <w:p>
      <w:pPr>
        <w:spacing w:after="80"/>
      </w:pPr>
      <w:r>
        <w:rPr>
          <w:sz w:val="22"/>
          <w:szCs w:val="22"/>
        </w:rPr>
        <w:t xml:space="preserve">Fachanwalt fuer Bank- und Kapitalmarktrecht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BaFin-Anzeige MiCA Stablecoin CryptoFutureMax.io</dc:title>
  <dc:creator>Kanzlei Pflueger Schoeneberg Bankrecht</dc:creator>
  <cp:lastModifiedBy>Un-named</cp:lastModifiedBy>
  <cp:revision>1</cp:revision>
  <dcterms:created xsi:type="dcterms:W3CDTF">2026-05-30T15:20:54.563Z</dcterms:created>
  <dcterms:modified xsi:type="dcterms:W3CDTF">2026-05-30T15:20:54.564Z</dcterms:modified>
</cp:coreProperties>
</file>

<file path=docProps/custom.xml><?xml version="1.0" encoding="utf-8"?>
<Properties xmlns="http://schemas.openxmlformats.org/officeDocument/2006/custom-properties" xmlns:vt="http://schemas.openxmlformats.org/officeDocument/2006/docPropsVTypes"/>
</file>