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jc w:val="center"/>
      </w:pPr>
      <w:r>
        <w:rPr>
          <w:b/>
          <w:bCs/>
          <w:color w:val="1a3a5c"/>
          <w:sz w:val="28"/>
          <w:szCs w:val="28"/>
        </w:rPr>
        <w:t xml:space="preserve">KANZLEI PFLUEGER SCHOENEBERG BANKRECHT</w:t>
      </w:r>
    </w:p>
    <w:p>
      <w:pPr>
        <w:spacing w:after="400"/>
        <w:jc w:val="center"/>
      </w:pPr>
      <w:r>
        <w:rPr>
          <w:color w:val="555555"/>
          <w:sz w:val="18"/>
          <w:szCs w:val="18"/>
        </w:rPr>
        <w:t xml:space="preserve">Am Markt 14 - 28195 Bremen - Tel.: 0421/33 88 20-0</w:t>
      </w:r>
    </w:p>
    <w:p>
      <w:pPr>
        <w:spacing w:after="80"/>
      </w:pPr>
      <w:r>
        <w:rPr>
          <w:b/>
          <w:bCs/>
          <w:sz w:val="22"/>
          <w:szCs w:val="22"/>
        </w:rPr>
        <w:t xml:space="preserve">An das Landgericht Bremen - Zivilkammer 4 -</w:t>
      </w:r>
    </w:p>
    <w:p>
      <w:pPr>
        <w:spacing w:after="400"/>
      </w:pPr>
      <w:r>
        <w:rPr>
          <w:sz w:val="22"/>
          <w:szCs w:val="22"/>
        </w:rPr>
        <w:t xml:space="preserve">Domsheide 16, 28195 Bremen</w:t>
      </w:r>
    </w:p>
    <w:p>
      <w:pPr>
        <w:spacing w:after="200"/>
        <w:jc w:val="center"/>
      </w:pPr>
      <w:r>
        <w:rPr>
          <w:b/>
          <w:bCs/>
          <w:color w:val="1a3a5c"/>
          <w:sz w:val="32"/>
          <w:szCs w:val="32"/>
        </w:rPr>
        <w:t xml:space="preserve">KLAGESCHRIFT</w:t>
      </w:r>
    </w:p>
    <w:p>
      <w:pPr>
        <w:spacing w:after="400"/>
        <w:jc w:val="center"/>
      </w:pPr>
      <w:r>
        <w:rPr>
          <w:b/>
          <w:bCs/>
          <w:color w:val="555555"/>
          <w:sz w:val="24"/>
          <w:szCs w:val="24"/>
        </w:rPr>
        <w:t xml:space="preserve">Aktenzeichen: 4 O 215/26</w:t>
      </w:r>
    </w:p>
    <w:p>
      <w:pPr>
        <w:spacing w:after="100"/>
      </w:pPr>
      <w:r>
        <w:rPr>
          <w:b/>
          <w:bCs/>
          <w:sz w:val="22"/>
          <w:szCs w:val="22"/>
        </w:rPr>
        <w:t xml:space="preserve">Klaegerin: </w:t>
      </w:r>
      <w:r>
        <w:rPr>
          <w:sz w:val="22"/>
          <w:szCs w:val="22"/>
        </w:rPr>
        <w:t xml:space="preserve">Eva-Maria Wittfeldt, geb. 14.03.1962, Kiefernstrasse 17, 28757 Bremen</w:t>
      </w:r>
    </w:p>
    <w:p>
      <w:pPr>
        <w:spacing w:after="100"/>
      </w:pPr>
      <w:r>
        <w:rPr>
          <w:b/>
          <w:bCs/>
          <w:sz w:val="22"/>
          <w:szCs w:val="22"/>
        </w:rPr>
        <w:t xml:space="preserve">Prozessbevollmaechtigter: </w:t>
      </w:r>
      <w:r>
        <w:rPr>
          <w:sz w:val="22"/>
          <w:szCs w:val="22"/>
        </w:rPr>
        <w:t xml:space="preserve">RA Dr. Severin Pflueger, Kanzlei Pflueger Schoeneberg Bankrecht, Am Markt 14, 28195 Bremen</w:t>
      </w:r>
    </w:p>
    <w:p>
      <w:pPr>
        <w:spacing w:after="400"/>
      </w:pPr>
      <w:r>
        <w:rPr>
          <w:b/>
          <w:bCs/>
          <w:sz w:val="22"/>
          <w:szCs w:val="22"/>
        </w:rPr>
        <w:t xml:space="preserve">Beklagte: </w:t>
      </w:r>
      <w:r>
        <w:rPr>
          <w:sz w:val="22"/>
          <w:szCs w:val="22"/>
        </w:rPr>
        <w:t xml:space="preserve">Sparkasse Bremen, vertreten durch den Vorstand, Am Brill 1-3, 28195 Bremen</w:t>
      </w:r>
    </w:p>
    <w:p>
      <w:pPr>
        <w:pStyle w:val="Heading2"/>
        <w:spacing w:after="200"/>
      </w:pPr>
      <w:r>
        <w:t xml:space="preserve">I. Antraege</w:t>
      </w:r>
    </w:p>
    <w:p>
      <w:pPr>
        <w:spacing w:after="150"/>
      </w:pPr>
      <w:r>
        <w:rPr>
          <w:b/>
          <w:bCs/>
          <w:sz w:val="22"/>
          <w:szCs w:val="22"/>
        </w:rPr>
        <w:t xml:space="preserve">1. </w:t>
      </w:r>
      <w:r>
        <w:rPr>
          <w:sz w:val="22"/>
          <w:szCs w:val="22"/>
        </w:rPr>
        <w:t xml:space="preserve">Die Beklagte wird verurteilt, an die Klaegerin </w:t>
      </w:r>
      <w:r>
        <w:rPr>
          <w:b/>
          <w:bCs/>
          <w:sz w:val="22"/>
          <w:szCs w:val="22"/>
        </w:rPr>
        <w:t xml:space="preserve">75.000,00 EUR</w:t>
      </w:r>
      <w:r>
        <w:rPr>
          <w:sz w:val="22"/>
          <w:szCs w:val="22"/>
        </w:rPr>
        <w:t xml:space="preserve"> nebst Zinsen in Hoehe von 5 Prozentpunkten ueber dem Basiszinssatz seit dem 24.01.2025 zu zahlen.</w:t>
      </w:r>
    </w:p>
    <w:p>
      <w:pPr>
        <w:spacing w:after="150"/>
      </w:pPr>
      <w:r>
        <w:rPr>
          <w:b/>
          <w:bCs/>
          <w:sz w:val="22"/>
          <w:szCs w:val="22"/>
        </w:rPr>
        <w:t xml:space="preserve">2. </w:t>
      </w:r>
      <w:r>
        <w:rPr>
          <w:sz w:val="22"/>
          <w:szCs w:val="22"/>
        </w:rPr>
        <w:t xml:space="preserve">Es wird festgestellt, dass die Kuendigung des Darlehensvertrags Nr. 24-01-0872/75 der Beklagten vom 14.11.2025 </w:t>
      </w:r>
      <w:r>
        <w:rPr>
          <w:b/>
          <w:bCs/>
          <w:sz w:val="22"/>
          <w:szCs w:val="22"/>
        </w:rPr>
        <w:t xml:space="preserve">unwirksam</w:t>
      </w:r>
      <w:r>
        <w:rPr>
          <w:sz w:val="22"/>
          <w:szCs w:val="22"/>
        </w:rPr>
        <w:t xml:space="preserve"> ist.</w:t>
      </w:r>
    </w:p>
    <w:p>
      <w:pPr>
        <w:spacing w:after="150"/>
      </w:pPr>
      <w:r>
        <w:rPr>
          <w:b/>
          <w:bCs/>
          <w:sz w:val="22"/>
          <w:szCs w:val="22"/>
        </w:rPr>
        <w:t xml:space="preserve">3. </w:t>
      </w:r>
      <w:r>
        <w:rPr>
          <w:sz w:val="22"/>
          <w:szCs w:val="22"/>
        </w:rPr>
        <w:t xml:space="preserve">Die Beklagte wird verurteilt, den bei der Schufa Holding AG gespeicherten Negativeintrag (Forderung 71.380,00 EUR, Meldedatum Dezember 2025) unverzueglich zu widerrufen.</w:t>
      </w:r>
    </w:p>
    <w:p>
      <w:pPr>
        <w:spacing w:after="300"/>
      </w:pPr>
      <w:r>
        <w:rPr>
          <w:b/>
          <w:bCs/>
          <w:sz w:val="22"/>
          <w:szCs w:val="22"/>
        </w:rPr>
        <w:t xml:space="preserve">4. </w:t>
      </w:r>
      <w:r>
        <w:rPr>
          <w:sz w:val="22"/>
          <w:szCs w:val="22"/>
        </w:rPr>
        <w:t xml:space="preserve">Die Beklagte traegt die Kosten des Rechtsstreits.</w:t>
      </w:r>
    </w:p>
    <w:p>
      <w:pPr>
        <w:spacing w:after="400"/>
      </w:pPr>
      <w:r>
        <w:rPr>
          <w:b/>
          <w:bCs/>
          <w:sz w:val="22"/>
          <w:szCs w:val="22"/>
        </w:rPr>
        <w:t xml:space="preserve">Streitwert: 153.518,00 EUR</w:t>
      </w:r>
    </w:p>
    <w:p>
      <w:pPr>
        <w:pStyle w:val="Heading2"/>
        <w:spacing w:after="200"/>
      </w:pPr>
      <w:r>
        <w:t xml:space="preserve">II. Sachverhalt</w:t>
      </w:r>
    </w:p>
    <w:p>
      <w:pPr>
        <w:spacing w:after="200"/>
      </w:pPr>
      <w:r>
        <w:rPr>
          <w:sz w:val="22"/>
          <w:szCs w:val="22"/>
        </w:rPr>
        <w:t xml:space="preserve">Die Klaegerin, eine 64-jaehrige vorzeitig pensionierte Diplom-Ingenieurin aus Bremen-Vegesack (monatliches Einkommen: ca. 980 EUR EM-Rente), wurde im Zeitraum September 2024 bis Maerz 2025 durch die betruegerische Kryptowaerungs-Handelsplattform CryptoFutureMax.io um insgesamt 387.420,00 EUR geschaedigt.</w:t>
      </w:r>
    </w:p>
    <w:p>
      <w:pPr>
        <w:spacing w:after="300"/>
      </w:pPr>
      <w:r>
        <w:rPr>
          <w:sz w:val="22"/>
          <w:szCs w:val="22"/>
        </w:rPr>
        <w:t xml:space="preserve">Die Klaegerin ueberwies sieben Betraege von ihrem bei der Beklagten gefuehrten Girokonto (IBAN DE44 2905 0101 1004 8830 12) auf Auslandskonten der Taeter. Im Januar 2025 schloss sie einen Darlehensvertrag ueber 75.000,00 EUR (Nr. 24-01-0872/75) mit der Beklagten ab. Bereits zwei Tage nach Darlehensauszahlung (22.01.2025) flossen 51.000,00 EUR aus dem Darlehenserloes an Trustless Banking S.A. in Estland.</w:t>
      </w:r>
    </w:p>
    <w:p>
      <w:pPr>
        <w:pStyle w:val="Heading2"/>
        <w:spacing w:after="200"/>
      </w:pPr>
      <w:r>
        <w:t xml:space="preserve">III. Pflichtverletzungen der Beklagten</w:t>
      </w:r>
    </w:p>
    <w:p>
      <w:pPr>
        <w:spacing w:after="100"/>
      </w:pPr>
      <w:r>
        <w:rPr>
          <w:b/>
          <w:bCs/>
          <w:sz w:val="22"/>
          <w:szCs w:val="22"/>
        </w:rPr>
        <w:t xml:space="preserve">Verletzung der Warnpflicht (SS 280, 241 Abs. 2 BGB):</w:t>
      </w:r>
    </w:p>
    <w:p>
      <w:pPr>
        <w:spacing w:after="200"/>
      </w:pPr>
      <w:r>
        <w:rPr>
          <w:sz w:val="22"/>
          <w:szCs w:val="22"/>
        </w:rPr>
        <w:t xml:space="preserve">Die sieben Auslandsueberweisungen in einer Gesamthoehe von 387.420,00 EUR an unbekannte Emfaenger in Hongkong, Estland und Zypern wiesen alle typischen Merkmale eines Cybertrading-Betruges auf (Emfaenger-IBAN-Rotation, branchenfremde Verwendungszwecke CFMX / AML Deposit, wirtschaftliche Unverhaeltnismaessigkeit bei einer EM-Rentnerin mit ca. 980 EUR Monatseinkommen). Nach BGH XI ZR 56/07 (NJW 2008, 2245) ist ein Kreditinstitut zur Warnung verpflichtet, wenn sich eine Betrugsgefahr bei gehoeriger Sorgfalt aufzwingen musste. Dies war spaetestens bei Ueberweisung Nr. 4 (18.12.2024, 89.000 EUR) der Fall.</w:t>
      </w:r>
    </w:p>
    <w:p>
      <w:pPr>
        <w:spacing w:after="100"/>
      </w:pPr>
      <w:r>
        <w:rPr>
          <w:b/>
          <w:bCs/>
          <w:sz w:val="22"/>
          <w:szCs w:val="22"/>
        </w:rPr>
        <w:t xml:space="preserve">Mitverschulden bei Darlehensvergabe und Darlehensauszahlung:</w:t>
      </w:r>
    </w:p>
    <w:p>
      <w:pPr>
        <w:spacing w:after="400"/>
      </w:pPr>
      <w:r>
        <w:rPr>
          <w:sz w:val="22"/>
          <w:szCs w:val="22"/>
        </w:rPr>
        <w:t xml:space="preserve">Die Beklagte gewaehrte das Hypothekendarlehen, obwohl auf demselben Konto bereits vier verdaechtige Auslandsueberweisungen von 227.500,00 EUR verbucht waren. Die sofortige Weiterleitung von 51.000,00 EUR aus dem Darlehen haette die Beklagte bei ordnungsgemaesser Transaktionsueberwachung (S 25h KWG) bemerken muessen.</w:t>
      </w:r>
    </w:p>
    <w:p>
      <w:pPr>
        <w:pStyle w:val="Heading2"/>
        <w:spacing w:after="200"/>
      </w:pPr>
      <w:r>
        <w:t xml:space="preserve">IV. Schadensberechnung</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shd w:fill="1a3a5c"/>
          </w:tcPr>
          <w:p>
            <w:r>
              <w:rPr>
                <w:b/>
                <w:bCs/>
                <w:color w:val="FFFFFF"/>
                <w:sz w:val="20"/>
                <w:szCs w:val="20"/>
              </w:rPr>
              <w:t xml:space="preserve">Schadenposten</w:t>
            </w:r>
          </w:p>
        </w:tc>
        <w:tc>
          <w:tcPr>
            <w:shd w:fill="1a3a5c"/>
          </w:tcPr>
          <w:p>
            <w:r>
              <w:rPr>
                <w:b/>
                <w:bCs/>
                <w:color w:val="FFFFFF"/>
                <w:sz w:val="20"/>
                <w:szCs w:val="20"/>
              </w:rPr>
              <w:t xml:space="preserve">Betrag (EUR)</w:t>
            </w:r>
          </w:p>
        </w:tc>
      </w:tr>
      <w:tr>
        <w:tc>
          <w:tcPr>
            <w:shd w:fill="F5F5F5"/>
          </w:tcPr>
          <w:p>
            <w:r>
              <w:rPr>
                <w:sz w:val="20"/>
                <w:szCs w:val="20"/>
              </w:rPr>
              <w:t xml:space="preserve">Darlehensgelder direkt weitergeleitet (Ueberweisung Nr. 5)</w:t>
            </w:r>
          </w:p>
        </w:tc>
        <w:tc>
          <w:tcPr>
            <w:shd w:fill="F5F5F5"/>
          </w:tcPr>
          <w:p>
            <w:r>
              <w:rPr>
                <w:sz w:val="20"/>
                <w:szCs w:val="20"/>
              </w:rPr>
              <w:t xml:space="preserve">51.000,00</w:t>
            </w:r>
          </w:p>
        </w:tc>
      </w:tr>
      <w:tr>
        <w:tc>
          <w:tcPr>
            <w:shd w:fill="FFFFFF"/>
          </w:tcPr>
          <w:p>
            <w:r>
              <w:rPr>
                <w:sz w:val="20"/>
                <w:szCs w:val="20"/>
              </w:rPr>
              <w:t xml:space="preserve">Restliches Darlehen (mittelbar kausal)</w:t>
            </w:r>
          </w:p>
        </w:tc>
        <w:tc>
          <w:tcPr>
            <w:shd w:fill="FFFFFF"/>
          </w:tcPr>
          <w:p>
            <w:r>
              <w:rPr>
                <w:sz w:val="20"/>
                <w:szCs w:val="20"/>
              </w:rPr>
              <w:t xml:space="preserve">24.000,00</w:t>
            </w:r>
          </w:p>
        </w:tc>
      </w:tr>
      <w:tr>
        <w:tc>
          <w:tcPr>
            <w:shd w:fill="E8F0E8"/>
          </w:tcPr>
          <w:p>
            <w:r>
              <w:rPr>
                <w:b/>
                <w:bCs/>
                <w:sz w:val="20"/>
                <w:szCs w:val="20"/>
              </w:rPr>
              <w:t xml:space="preserve">Hauptantrag gesamt</w:t>
            </w:r>
          </w:p>
        </w:tc>
        <w:tc>
          <w:tcPr>
            <w:shd w:fill="E8F0E8"/>
          </w:tcPr>
          <w:p>
            <w:r>
              <w:rPr>
                <w:b/>
                <w:bCs/>
                <w:sz w:val="20"/>
                <w:szCs w:val="20"/>
              </w:rPr>
              <w:t xml:space="preserve">75.000,00</w:t>
            </w:r>
          </w:p>
        </w:tc>
      </w:tr>
    </w:tbl>
    <w:p>
      <w:pPr>
        <w:spacing w:after="400"/>
      </w:pPr>
    </w:p>
    <w:p>
      <w:pPr>
        <w:pStyle w:val="Heading2"/>
        <w:spacing w:after="200"/>
      </w:pPr>
      <w:r>
        <w:t xml:space="preserve">V. Beweisangebote</w:t>
      </w:r>
    </w:p>
    <w:p>
      <w:pPr>
        <w:spacing w:after="600"/>
      </w:pPr>
      <w:r>
        <w:rPr>
          <w:sz w:val="22"/>
          <w:szCs w:val="22"/>
        </w:rPr>
        <w:t xml:space="preserve">Anlage K1: Kontoauszuege Sparkasse (7 Ueberweisungen); Anlage K2: Darlehensvertrag; Anlage K3: Kuendigung Sparkasse v. 14.11.2025; Anlage K4: E-Mail-Kommunikation CryptoFutureMax; Anlage K5: Psychiatrisches Gutachten Dr. Sternberg; Zeugen: Daniel Wittfeldt; Sachverstaendiger Bankbetrieb.</w:t>
      </w:r>
    </w:p>
    <w:p>
      <w:pPr>
        <w:spacing w:after="200"/>
      </w:pPr>
      <w:r>
        <w:rPr>
          <w:sz w:val="22"/>
          <w:szCs w:val="22"/>
        </w:rPr>
        <w:t xml:space="preserve">Bremen, 30. April 2026</w:t>
      </w:r>
    </w:p>
    <w:p>
      <w:pPr>
        <w:spacing w:after="80"/>
      </w:pPr>
      <w:r>
        <w:rPr>
          <w:b/>
          <w:bCs/>
          <w:sz w:val="22"/>
          <w:szCs w:val="22"/>
        </w:rPr>
        <w:t xml:space="preserve">Rechtsanwalt Dr. Severin Pflueger</w:t>
      </w:r>
    </w:p>
    <w:p>
      <w:r>
        <w:rPr>
          <w:sz w:val="22"/>
          <w:szCs w:val="22"/>
        </w:rPr>
        <w:t xml:space="preserve">Fachanwalt fuer Bank- und Kapitalmarktrecht</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Klageschrift LG Bremen ./. Sparkasse Bremen</dc:title>
  <dc:creator>Kanzlei Pflueger Schoeneberg Bankrecht</dc:creator>
  <dc:description>Klage auf Schadensersatz wegen Verletzung der Warnpflichten</dc:description>
  <cp:lastModifiedBy>Un-named</cp:lastModifiedBy>
  <cp:revision>1</cp:revision>
  <dcterms:created xsi:type="dcterms:W3CDTF">2026-05-30T15:19:24.756Z</dcterms:created>
  <dcterms:modified xsi:type="dcterms:W3CDTF">2026-05-30T15:19:24.756Z</dcterms:modified>
</cp:coreProperties>
</file>

<file path=docProps/custom.xml><?xml version="1.0" encoding="utf-8"?>
<Properties xmlns="http://schemas.openxmlformats.org/officeDocument/2006/custom-properties" xmlns:vt="http://schemas.openxmlformats.org/officeDocument/2006/docPropsVTypes"/>
</file>