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1a3a5c"/>
          <w:sz w:val="28"/>
          <w:szCs w:val="28"/>
        </w:rPr>
        <w:t xml:space="preserve">KANZLEI PFLÜGER SCHOENEBERG BANKRECHT</w:t>
      </w:r>
    </w:p>
    <w:p>
      <w:pPr>
        <w:spacing w:after="400"/>
        <w:jc w:val="center"/>
      </w:pPr>
      <w:r>
        <w:rPr>
          <w:color w:val="555555"/>
          <w:sz w:val="18"/>
          <w:szCs w:val="18"/>
        </w:rPr>
        <w:t xml:space="preserve">Am Markt 14 · 28195 Bremen · Tel.: 0421/33 88 20-0 · Fax: 0421/33 88 20-99</w:t>
      </w:r>
    </w:p>
    <w:p>
      <w:pPr>
        <w:spacing w:after="400"/>
        <w:jc w:val="center"/>
      </w:pPr>
      <w:r>
        <w:rPr>
          <w:color w:val="1a3a5c"/>
        </w:rPr>
        <w:t xml:space="preserve">────────────────────────────────────────────────────────</w:t>
      </w:r>
    </w:p>
    <w:p>
      <w:pPr>
        <w:spacing w:after="80"/>
      </w:pPr>
      <w:r>
        <w:rPr>
          <w:sz w:val="22"/>
          <w:szCs w:val="22"/>
        </w:rPr>
        <w:t xml:space="preserve">An die</w:t>
      </w:r>
    </w:p>
    <w:p>
      <w:pPr>
        <w:spacing w:after="80"/>
      </w:pPr>
      <w:r>
        <w:rPr>
          <w:b/>
          <w:bCs/>
          <w:sz w:val="22"/>
          <w:szCs w:val="22"/>
        </w:rPr>
        <w:t xml:space="preserve">Polizei Bremen</w:t>
      </w:r>
    </w:p>
    <w:p>
      <w:pPr>
        <w:spacing w:after="80"/>
      </w:pPr>
      <w:r>
        <w:rPr>
          <w:sz w:val="22"/>
          <w:szCs w:val="22"/>
        </w:rPr>
        <w:t xml:space="preserve">Zentrale Kriminalinspektion – AG Digitale Kriminalität (ZKD)</w:t>
      </w:r>
    </w:p>
    <w:p>
      <w:pPr>
        <w:spacing w:after="400"/>
      </w:pPr>
      <w:r>
        <w:rPr>
          <w:sz w:val="22"/>
          <w:szCs w:val="22"/>
        </w:rPr>
        <w:t xml:space="preserve">In der Vahr 76, 28329 Bremen</w:t>
      </w:r>
    </w:p>
    <w:p>
      <w:pPr>
        <w:spacing w:after="400"/>
      </w:pPr>
      <w:r>
        <w:rPr>
          <w:sz w:val="22"/>
          <w:szCs w:val="22"/>
        </w:rPr>
        <w:t xml:space="preserve">Bremen, 08. April 2026          </w:t>
      </w:r>
      <w:r>
        <w:rPr>
          <w:b/>
          <w:bCs/>
          <w:sz w:val="22"/>
          <w:szCs w:val="22"/>
        </w:rPr>
        <w:t xml:space="preserve">Aktenzeichen: ZD 3001 UJs 8841/26</w:t>
      </w:r>
    </w:p>
    <w:p>
      <w:pPr>
        <w:pStyle w:val="Heading1"/>
        <w:spacing w:after="200"/>
      </w:pPr>
      <w:r>
        <w:t xml:space="preserve">STRAFANZEIGE</w:t>
      </w:r>
    </w:p>
    <w:p>
      <w:pPr>
        <w:spacing w:after="300"/>
      </w:pPr>
      <w:r>
        <w:rPr>
          <w:sz w:val="22"/>
          <w:szCs w:val="22"/>
        </w:rPr>
        <w:t xml:space="preserve">gemäß §§ 158, 161 StPO</w:t>
      </w:r>
    </w:p>
    <w:p>
      <w:pPr>
        <w:spacing w:after="100"/>
      </w:pPr>
      <w:r>
        <w:rPr>
          <w:b/>
          <w:bCs/>
          <w:sz w:val="22"/>
          <w:szCs w:val="22"/>
        </w:rPr>
        <w:t xml:space="preserve">Mandantin:</w:t>
      </w:r>
      <w:r>
        <w:rPr>
          <w:sz w:val="22"/>
          <w:szCs w:val="22"/>
        </w:rPr>
        <w:t xml:space="preserve"> Eva-Maria Wittfeldt, geb. 14.03.1962, Kiefernstraße 17, 28757 Bremen</w:t>
      </w:r>
    </w:p>
    <w:p>
      <w:pPr>
        <w:spacing w:after="300"/>
      </w:pPr>
      <w:r>
        <w:rPr>
          <w:b/>
          <w:bCs/>
          <w:sz w:val="22"/>
          <w:szCs w:val="22"/>
        </w:rPr>
        <w:t xml:space="preserve">Bevollmächtigter:</w:t>
      </w:r>
      <w:r>
        <w:rPr>
          <w:sz w:val="22"/>
          <w:szCs w:val="22"/>
        </w:rPr>
        <w:t xml:space="preserve"> Daniel Wittfeldt (Sohn), Deichstraße 88, 28757 Bremen</w:t>
      </w:r>
    </w:p>
    <w:p>
      <w:pPr>
        <w:spacing w:after="100"/>
      </w:pPr>
      <w:r>
        <w:rPr>
          <w:b/>
          <w:bCs/>
          <w:sz w:val="22"/>
          <w:szCs w:val="22"/>
        </w:rPr>
        <w:t xml:space="preserve">Strafanzeige gegen Unbekannt wegen Verdachts des:</w:t>
      </w:r>
    </w:p>
    <w:p>
      <w:pPr>
        <w:spacing w:after="80"/>
      </w:pPr>
      <w:r>
        <w:rPr>
          <w:sz w:val="22"/>
          <w:szCs w:val="22"/>
        </w:rPr>
        <w:t xml:space="preserve">1.  Betruges, § 263 StGB (ggf. gewerbs- und bandenmäßig, § 263 Abs. 3 Nr. 1 StGB)</w:t>
      </w:r>
    </w:p>
    <w:p>
      <w:pPr>
        <w:spacing w:after="80"/>
      </w:pPr>
      <w:r>
        <w:rPr>
          <w:sz w:val="22"/>
          <w:szCs w:val="22"/>
        </w:rPr>
        <w:t xml:space="preserve">2.  Computerbetruges, § 263a StGB (manipulierte Handelsplattform)</w:t>
      </w:r>
    </w:p>
    <w:p>
      <w:pPr>
        <w:spacing w:after="80"/>
      </w:pPr>
      <w:r>
        <w:rPr>
          <w:sz w:val="22"/>
          <w:szCs w:val="22"/>
        </w:rPr>
        <w:t xml:space="preserve">3.  Geldwäsche, § 261 StGB</w:t>
      </w:r>
    </w:p>
    <w:p>
      <w:pPr>
        <w:spacing w:after="400"/>
      </w:pPr>
      <w:r>
        <w:rPr>
          <w:sz w:val="22"/>
          <w:szCs w:val="22"/>
        </w:rPr>
        <w:t xml:space="preserve">4.  Unerlaubten Betreibens von Bankgeschäften, § 54 KWG</w:t>
      </w:r>
    </w:p>
    <w:p>
      <w:pPr>
        <w:pStyle w:val="Heading2"/>
        <w:spacing w:after="200"/>
      </w:pPr>
      <w:r>
        <w:t xml:space="preserve">I. Sachverhalt</w:t>
      </w:r>
    </w:p>
    <w:p>
      <w:pPr>
        <w:spacing w:after="200"/>
      </w:pPr>
      <w:r>
        <w:rPr>
          <w:sz w:val="22"/>
          <w:szCs w:val="22"/>
        </w:rPr>
        <w:t xml:space="preserve">Im Zeitraum September 2024 bis März 2025 wurde unsere Mandantin, Frau Eva-Maria Wittfeldt (64 Jahre, vorzeitig pensionierte Diplom-Ingenieurin, monatliches Einkommen ca. 980 EUR Erwerbsminderungsrente), durch die betrügerische Kryptowährungs-Handelsplattform </w:t>
      </w:r>
      <w:r>
        <w:rPr>
          <w:b/>
          <w:bCs/>
          <w:sz w:val="22"/>
          <w:szCs w:val="22"/>
        </w:rPr>
        <w:t xml:space="preserve">CryptoFutureMax.io</w:t>
      </w:r>
      <w:r>
        <w:rPr>
          <w:sz w:val="22"/>
          <w:szCs w:val="22"/>
        </w:rPr>
        <w:t xml:space="preserve"> um insgesamt </w:t>
      </w:r>
      <w:r>
        <w:rPr>
          <w:b/>
          <w:bCs/>
          <w:sz w:val="22"/>
          <w:szCs w:val="22"/>
        </w:rPr>
        <w:t xml:space="preserve">387.420,00 EUR</w:t>
      </w:r>
      <w:r>
        <w:rPr>
          <w:sz w:val="22"/>
          <w:szCs w:val="22"/>
        </w:rPr>
        <w:t xml:space="preserve"> geschädigt.</w:t>
      </w:r>
    </w:p>
    <w:p>
      <w:pPr>
        <w:spacing w:after="200"/>
      </w:pPr>
      <w:r>
        <w:rPr>
          <w:sz w:val="22"/>
          <w:szCs w:val="22"/>
        </w:rPr>
        <w:t xml:space="preserve">Die Täter sprachen Frau Wittfeldt über eine bezahlte Facebook-Anzeige an und bauten über einen als "Robert Volkmann" auftretenden vermeintlichen Berater (UK-Mobilnummer +44 7700 900 xxx) über Monate ein Vertrauensverhältnis auf. Frau Wittfeldt überwies in gutem Glauben sieben Beträge auf Auslandskonten der Täter:</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shd w:fill="1a3a5c"/>
          </w:tcPr>
          <w:p>
            <w:r>
              <w:rPr>
                <w:b/>
                <w:bCs/>
                <w:sz w:val="20"/>
                <w:szCs w:val="20"/>
              </w:rPr>
              <w:t xml:space="preserve">Nr.</w:t>
            </w:r>
          </w:p>
        </w:tc>
        <w:tc>
          <w:tcPr>
            <w:shd w:fill="1a3a5c"/>
          </w:tcPr>
          <w:p>
            <w:r>
              <w:rPr>
                <w:b/>
                <w:bCs/>
                <w:color w:val="FFFFFF"/>
                <w:sz w:val="20"/>
                <w:szCs w:val="20"/>
              </w:rPr>
              <w:t xml:space="preserve">Datum</w:t>
            </w:r>
          </w:p>
        </w:tc>
        <w:tc>
          <w:tcPr>
            <w:shd w:fill="1a3a5c"/>
          </w:tcPr>
          <w:p>
            <w:r>
              <w:rPr>
                <w:b/>
                <w:bCs/>
                <w:color w:val="FFFFFF"/>
                <w:sz w:val="20"/>
                <w:szCs w:val="20"/>
              </w:rPr>
              <w:t xml:space="preserve">Betrag (EUR)</w:t>
            </w:r>
          </w:p>
        </w:tc>
        <w:tc>
          <w:tcPr>
            <w:shd w:fill="1a3a5c"/>
          </w:tcPr>
          <w:p>
            <w:r>
              <w:rPr>
                <w:b/>
                <w:bCs/>
                <w:color w:val="FFFFFF"/>
                <w:sz w:val="20"/>
                <w:szCs w:val="20"/>
              </w:rPr>
              <w:t xml:space="preserve">Empfängerbank</w:t>
            </w:r>
          </w:p>
        </w:tc>
        <w:tc>
          <w:tcPr>
            <w:shd w:fill="1a3a5c"/>
          </w:tcPr>
          <w:p>
            <w:r>
              <w:rPr>
                <w:b/>
                <w:bCs/>
                <w:color w:val="FFFFFF"/>
                <w:sz w:val="20"/>
                <w:szCs w:val="20"/>
              </w:rPr>
              <w:t xml:space="preserve">Land</w:t>
            </w:r>
          </w:p>
        </w:tc>
      </w:tr>
      <w:tr>
        <w:tc>
          <w:tcPr>
            <w:shd w:fill="F0F4F8"/>
          </w:tcPr>
          <w:p>
            <w:r>
              <w:rPr>
                <w:sz w:val="20"/>
                <w:szCs w:val="20"/>
              </w:rPr>
              <w:t xml:space="preserve">1</w:t>
            </w:r>
          </w:p>
        </w:tc>
        <w:tc>
          <w:tcPr>
            <w:shd w:fill="F0F4F8"/>
          </w:tcPr>
          <w:p>
            <w:r>
              <w:rPr>
                <w:sz w:val="20"/>
                <w:szCs w:val="20"/>
              </w:rPr>
              <w:t xml:space="preserve">18.09.2024</w:t>
            </w:r>
          </w:p>
        </w:tc>
        <w:tc>
          <w:tcPr>
            <w:shd w:fill="F0F4F8"/>
          </w:tcPr>
          <w:p>
            <w:r>
              <w:rPr>
                <w:sz w:val="20"/>
                <w:szCs w:val="20"/>
              </w:rPr>
              <w:t xml:space="preserve">38.000,00</w:t>
            </w:r>
          </w:p>
        </w:tc>
        <w:tc>
          <w:tcPr>
            <w:shd w:fill="F0F4F8"/>
          </w:tcPr>
          <w:p>
            <w:r>
              <w:rPr>
                <w:sz w:val="20"/>
                <w:szCs w:val="20"/>
              </w:rPr>
              <w:t xml:space="preserve">ZA Bank Ltd.</w:t>
            </w:r>
          </w:p>
        </w:tc>
        <w:tc>
          <w:tcPr>
            <w:shd w:fill="F0F4F8"/>
          </w:tcPr>
          <w:p>
            <w:r>
              <w:rPr>
                <w:sz w:val="20"/>
                <w:szCs w:val="20"/>
              </w:rPr>
              <w:t xml:space="preserve">Hongkong</w:t>
            </w:r>
          </w:p>
        </w:tc>
      </w:tr>
      <w:tr>
        <w:tc>
          <w:tcPr>
            <w:shd w:fill="FFFFFF"/>
          </w:tcPr>
          <w:p>
            <w:r>
              <w:rPr>
                <w:sz w:val="20"/>
                <w:szCs w:val="20"/>
              </w:rPr>
              <w:t xml:space="preserve">2</w:t>
            </w:r>
          </w:p>
        </w:tc>
        <w:tc>
          <w:tcPr>
            <w:shd w:fill="FFFFFF"/>
          </w:tcPr>
          <w:p>
            <w:r>
              <w:rPr>
                <w:sz w:val="20"/>
                <w:szCs w:val="20"/>
              </w:rPr>
              <w:t xml:space="preserve">14.10.2024</w:t>
            </w:r>
          </w:p>
        </w:tc>
        <w:tc>
          <w:tcPr>
            <w:shd w:fill="FFFFFF"/>
          </w:tcPr>
          <w:p>
            <w:r>
              <w:rPr>
                <w:sz w:val="20"/>
                <w:szCs w:val="20"/>
              </w:rPr>
              <w:t xml:space="preserve">42.000,00</w:t>
            </w:r>
          </w:p>
        </w:tc>
        <w:tc>
          <w:tcPr>
            <w:shd w:fill="FFFFFF"/>
          </w:tcPr>
          <w:p>
            <w:r>
              <w:rPr>
                <w:sz w:val="20"/>
                <w:szCs w:val="20"/>
              </w:rPr>
              <w:t xml:space="preserve">Trustless Banking S.A.</w:t>
            </w:r>
          </w:p>
        </w:tc>
        <w:tc>
          <w:tcPr>
            <w:shd w:fill="FFFFFF"/>
          </w:tcPr>
          <w:p>
            <w:r>
              <w:rPr>
                <w:sz w:val="20"/>
                <w:szCs w:val="20"/>
              </w:rPr>
              <w:t xml:space="preserve">Estland</w:t>
            </w:r>
          </w:p>
        </w:tc>
      </w:tr>
      <w:tr>
        <w:tc>
          <w:tcPr>
            <w:shd w:fill="F0F4F8"/>
          </w:tcPr>
          <w:p>
            <w:r>
              <w:rPr>
                <w:sz w:val="20"/>
                <w:szCs w:val="20"/>
              </w:rPr>
              <w:t xml:space="preserve">3</w:t>
            </w:r>
          </w:p>
        </w:tc>
        <w:tc>
          <w:tcPr>
            <w:shd w:fill="F0F4F8"/>
          </w:tcPr>
          <w:p>
            <w:r>
              <w:rPr>
                <w:sz w:val="20"/>
                <w:szCs w:val="20"/>
              </w:rPr>
              <w:t xml:space="preserve">15.11.2024</w:t>
            </w:r>
          </w:p>
        </w:tc>
        <w:tc>
          <w:tcPr>
            <w:shd w:fill="F0F4F8"/>
          </w:tcPr>
          <w:p>
            <w:r>
              <w:rPr>
                <w:sz w:val="20"/>
                <w:szCs w:val="20"/>
              </w:rPr>
              <w:t xml:space="preserve">58.500,00</w:t>
            </w:r>
          </w:p>
        </w:tc>
        <w:tc>
          <w:tcPr>
            <w:shd w:fill="F0F4F8"/>
          </w:tcPr>
          <w:p>
            <w:r>
              <w:rPr>
                <w:sz w:val="20"/>
                <w:szCs w:val="20"/>
              </w:rPr>
              <w:t xml:space="preserve">Cyprus Popular Bank</w:t>
            </w:r>
          </w:p>
        </w:tc>
        <w:tc>
          <w:tcPr>
            <w:shd w:fill="F0F4F8"/>
          </w:tcPr>
          <w:p>
            <w:r>
              <w:rPr>
                <w:sz w:val="20"/>
                <w:szCs w:val="20"/>
              </w:rPr>
              <w:t xml:space="preserve">Zypern</w:t>
            </w:r>
          </w:p>
        </w:tc>
      </w:tr>
      <w:tr>
        <w:tc>
          <w:tcPr>
            <w:shd w:fill="FFFFFF"/>
          </w:tcPr>
          <w:p>
            <w:r>
              <w:rPr>
                <w:sz w:val="20"/>
                <w:szCs w:val="20"/>
              </w:rPr>
              <w:t xml:space="preserve">4</w:t>
            </w:r>
          </w:p>
        </w:tc>
        <w:tc>
          <w:tcPr>
            <w:shd w:fill="FFFFFF"/>
          </w:tcPr>
          <w:p>
            <w:r>
              <w:rPr>
                <w:sz w:val="20"/>
                <w:szCs w:val="20"/>
              </w:rPr>
              <w:t xml:space="preserve">18.12.2024</w:t>
            </w:r>
          </w:p>
        </w:tc>
        <w:tc>
          <w:tcPr>
            <w:shd w:fill="FFFFFF"/>
          </w:tcPr>
          <w:p>
            <w:r>
              <w:rPr>
                <w:sz w:val="20"/>
                <w:szCs w:val="20"/>
              </w:rPr>
              <w:t xml:space="preserve">89.000,00</w:t>
            </w:r>
          </w:p>
        </w:tc>
        <w:tc>
          <w:tcPr>
            <w:shd w:fill="FFFFFF"/>
          </w:tcPr>
          <w:p>
            <w:r>
              <w:rPr>
                <w:sz w:val="20"/>
                <w:szCs w:val="20"/>
              </w:rPr>
              <w:t xml:space="preserve">ZA Bank Ltd.</w:t>
            </w:r>
          </w:p>
        </w:tc>
        <w:tc>
          <w:tcPr>
            <w:shd w:fill="FFFFFF"/>
          </w:tcPr>
          <w:p>
            <w:r>
              <w:rPr>
                <w:sz w:val="20"/>
                <w:szCs w:val="20"/>
              </w:rPr>
              <w:t xml:space="preserve">Hongkong</w:t>
            </w:r>
          </w:p>
        </w:tc>
      </w:tr>
      <w:tr>
        <w:tc>
          <w:tcPr>
            <w:shd w:fill="F0F4F8"/>
          </w:tcPr>
          <w:p>
            <w:r>
              <w:rPr>
                <w:sz w:val="20"/>
                <w:szCs w:val="20"/>
              </w:rPr>
              <w:t xml:space="preserve">5</w:t>
            </w:r>
          </w:p>
        </w:tc>
        <w:tc>
          <w:tcPr>
            <w:shd w:fill="F0F4F8"/>
          </w:tcPr>
          <w:p>
            <w:r>
              <w:rPr>
                <w:sz w:val="20"/>
                <w:szCs w:val="20"/>
              </w:rPr>
              <w:t xml:space="preserve">24.01.2025</w:t>
            </w:r>
          </w:p>
        </w:tc>
        <w:tc>
          <w:tcPr>
            <w:shd w:fill="F0F4F8"/>
          </w:tcPr>
          <w:p>
            <w:r>
              <w:rPr>
                <w:sz w:val="20"/>
                <w:szCs w:val="20"/>
              </w:rPr>
              <w:t xml:space="preserve">51.000,00</w:t>
            </w:r>
          </w:p>
        </w:tc>
        <w:tc>
          <w:tcPr>
            <w:shd w:fill="F0F4F8"/>
          </w:tcPr>
          <w:p>
            <w:r>
              <w:rPr>
                <w:sz w:val="20"/>
                <w:szCs w:val="20"/>
              </w:rPr>
              <w:t xml:space="preserve">Trustless Banking S.A.</w:t>
            </w:r>
          </w:p>
        </w:tc>
        <w:tc>
          <w:tcPr>
            <w:shd w:fill="F0F4F8"/>
          </w:tcPr>
          <w:p>
            <w:r>
              <w:rPr>
                <w:sz w:val="20"/>
                <w:szCs w:val="20"/>
              </w:rPr>
              <w:t xml:space="preserve">Estland</w:t>
            </w:r>
          </w:p>
        </w:tc>
      </w:tr>
      <w:tr>
        <w:tc>
          <w:tcPr>
            <w:shd w:fill="FFFFFF"/>
          </w:tcPr>
          <w:p>
            <w:r>
              <w:rPr>
                <w:sz w:val="20"/>
                <w:szCs w:val="20"/>
              </w:rPr>
              <w:t xml:space="preserve">6</w:t>
            </w:r>
          </w:p>
        </w:tc>
        <w:tc>
          <w:tcPr>
            <w:shd w:fill="FFFFFF"/>
          </w:tcPr>
          <w:p>
            <w:r>
              <w:rPr>
                <w:sz w:val="20"/>
                <w:szCs w:val="20"/>
              </w:rPr>
              <w:t xml:space="preserve">11.02.2025</w:t>
            </w:r>
          </w:p>
        </w:tc>
        <w:tc>
          <w:tcPr>
            <w:shd w:fill="FFFFFF"/>
          </w:tcPr>
          <w:p>
            <w:r>
              <w:rPr>
                <w:sz w:val="20"/>
                <w:szCs w:val="20"/>
              </w:rPr>
              <w:t xml:space="preserve">47.420,00</w:t>
            </w:r>
          </w:p>
        </w:tc>
        <w:tc>
          <w:tcPr>
            <w:shd w:fill="FFFFFF"/>
          </w:tcPr>
          <w:p>
            <w:r>
              <w:rPr>
                <w:sz w:val="20"/>
                <w:szCs w:val="20"/>
              </w:rPr>
              <w:t xml:space="preserve">Trustless Banking S.A.</w:t>
            </w:r>
          </w:p>
        </w:tc>
        <w:tc>
          <w:tcPr>
            <w:shd w:fill="FFFFFF"/>
          </w:tcPr>
          <w:p>
            <w:r>
              <w:rPr>
                <w:sz w:val="20"/>
                <w:szCs w:val="20"/>
              </w:rPr>
              <w:t xml:space="preserve">Estland</w:t>
            </w:r>
          </w:p>
        </w:tc>
      </w:tr>
      <w:tr>
        <w:tc>
          <w:tcPr>
            <w:shd w:fill="F0F4F8"/>
          </w:tcPr>
          <w:p>
            <w:r>
              <w:rPr>
                <w:sz w:val="20"/>
                <w:szCs w:val="20"/>
              </w:rPr>
              <w:t xml:space="preserve">7</w:t>
            </w:r>
          </w:p>
        </w:tc>
        <w:tc>
          <w:tcPr>
            <w:shd w:fill="F0F4F8"/>
          </w:tcPr>
          <w:p>
            <w:r>
              <w:rPr>
                <w:sz w:val="20"/>
                <w:szCs w:val="20"/>
              </w:rPr>
              <w:t xml:space="preserve">07.03.2025</w:t>
            </w:r>
          </w:p>
        </w:tc>
        <w:tc>
          <w:tcPr>
            <w:shd w:fill="F0F4F8"/>
          </w:tcPr>
          <w:p>
            <w:r>
              <w:rPr>
                <w:sz w:val="20"/>
                <w:szCs w:val="20"/>
              </w:rPr>
              <w:t xml:space="preserve">61.500,00</w:t>
            </w:r>
          </w:p>
        </w:tc>
        <w:tc>
          <w:tcPr>
            <w:shd w:fill="F0F4F8"/>
          </w:tcPr>
          <w:p>
            <w:r>
              <w:rPr>
                <w:sz w:val="20"/>
                <w:szCs w:val="20"/>
              </w:rPr>
              <w:t xml:space="preserve">ZA Bank Ltd.</w:t>
            </w:r>
          </w:p>
        </w:tc>
        <w:tc>
          <w:tcPr>
            <w:shd w:fill="F0F4F8"/>
          </w:tcPr>
          <w:p>
            <w:r>
              <w:rPr>
                <w:sz w:val="20"/>
                <w:szCs w:val="20"/>
              </w:rPr>
              <w:t xml:space="preserve">Hongkong</w:t>
            </w:r>
          </w:p>
        </w:tc>
      </w:tr>
      <w:tr>
        <w:tc>
          <w:tcPr>
            <w:shd w:fill="E8F0E8"/>
          </w:tcPr>
          <w:p>
            <w:r>
              <w:rPr>
                <w:b/>
                <w:bCs/>
                <w:sz w:val="20"/>
                <w:szCs w:val="20"/>
              </w:rPr>
              <w:t xml:space="preserve">Gesamt</w:t>
            </w:r>
          </w:p>
        </w:tc>
        <w:tc>
          <w:tcPr>
            <w:shd w:fill="E8F0E8"/>
          </w:tcPr>
          <w:p>
            <w:r>
              <w:rPr>
                <w:sz w:val="20"/>
                <w:szCs w:val="20"/>
              </w:rPr>
              <w:t xml:space="preserve"/>
            </w:r>
          </w:p>
        </w:tc>
        <w:tc>
          <w:tcPr>
            <w:shd w:fill="E8F0E8"/>
          </w:tcPr>
          <w:p>
            <w:r>
              <w:rPr>
                <w:b/>
                <w:bCs/>
                <w:sz w:val="20"/>
                <w:szCs w:val="20"/>
              </w:rPr>
              <w:t xml:space="preserve">387.420,00</w:t>
            </w:r>
          </w:p>
        </w:tc>
        <w:tc>
          <w:tcPr>
            <w:shd w:fill="E8F0E8"/>
          </w:tcPr>
          <w:p>
            <w:r>
              <w:rPr>
                <w:sz w:val="20"/>
                <w:szCs w:val="20"/>
              </w:rPr>
              <w:t xml:space="preserve"/>
            </w:r>
          </w:p>
        </w:tc>
        <w:tc>
          <w:tcPr>
            <w:shd w:fill="E8F0E8"/>
          </w:tcPr>
          <w:p>
            <w:r>
              <w:rPr>
                <w:sz w:val="20"/>
                <w:szCs w:val="20"/>
              </w:rPr>
              <w:t xml:space="preserve"/>
            </w:r>
          </w:p>
        </w:tc>
      </w:tr>
    </w:tbl>
    <w:p>
      <w:pPr>
        <w:spacing w:after="300"/>
      </w:pPr>
    </w:p>
    <w:p>
      <w:pPr>
        <w:pStyle w:val="Heading2"/>
        <w:spacing w:after="200"/>
      </w:pPr>
      <w:r>
        <w:t xml:space="preserve">II. Rechtliche Bewertung</w:t>
      </w:r>
    </w:p>
    <w:p>
      <w:pPr>
        <w:spacing w:after="200"/>
      </w:pPr>
      <w:r>
        <w:rPr>
          <w:b/>
          <w:bCs/>
          <w:sz w:val="22"/>
          <w:szCs w:val="22"/>
        </w:rPr>
        <w:t xml:space="preserve">§ 263 StGB – Betrug:</w:t>
      </w:r>
      <w:r>
        <w:rPr>
          <w:sz w:val="22"/>
          <w:szCs w:val="22"/>
        </w:rPr>
        <w:t xml:space="preserve"> Die Täter täuschten über Existenz und Seriosität der Handelsplattform, erregten Irrtum bei der Geschädigten und veranlassten sie zu Vermögensverfügungen (Überweisungen). Der Schaden beträgt 387.420 EUR. Die Qualifikation als gewerbsmäßiger Betrug (§ 263 Abs. 3 Nr. 1 StGB) ist wahrscheinlich.</w:t>
      </w:r>
    </w:p>
    <w:p>
      <w:pPr>
        <w:spacing w:after="200"/>
      </w:pPr>
      <w:r>
        <w:rPr>
          <w:b/>
          <w:bCs/>
          <w:sz w:val="22"/>
          <w:szCs w:val="22"/>
        </w:rPr>
        <w:t xml:space="preserve">§ 263a StGB – Computerbetrug:</w:t>
      </w:r>
      <w:r>
        <w:rPr>
          <w:sz w:val="22"/>
          <w:szCs w:val="22"/>
        </w:rPr>
        <w:t xml:space="preserve"> Das manipulierte Dashboard stellt eine unbefugte Einwirkung auf Datenverarbeitungsvorgänge dar.</w:t>
      </w:r>
    </w:p>
    <w:p>
      <w:pPr>
        <w:spacing w:after="400"/>
      </w:pPr>
      <w:r>
        <w:rPr>
          <w:b/>
          <w:bCs/>
          <w:sz w:val="22"/>
          <w:szCs w:val="22"/>
        </w:rPr>
        <w:t xml:space="preserve">§ 261 StGB – Geldwäsche:</w:t>
      </w:r>
      <w:r>
        <w:rPr>
          <w:sz w:val="22"/>
          <w:szCs w:val="22"/>
        </w:rPr>
        <w:t xml:space="preserve"> Die Verschleierung der Herkunft durch internationale Transferketten erfüllt den Tatbestand.</w:t>
      </w:r>
    </w:p>
    <w:p>
      <w:pPr>
        <w:pStyle w:val="Heading2"/>
        <w:spacing w:after="200"/>
      </w:pPr>
      <w:r>
        <w:t xml:space="preserve">III. Antrag</w:t>
      </w:r>
    </w:p>
    <w:p>
      <w:pPr>
        <w:spacing w:after="600"/>
      </w:pPr>
      <w:r>
        <w:rPr>
          <w:sz w:val="22"/>
          <w:szCs w:val="22"/>
        </w:rPr>
        <w:t xml:space="preserve">Wir stellen Strafantrag nach § 77 StGB und beantragen die Einleitung eines Ermittlungsverfahrens, Identitätsfeststellung des Täters "Robert Volkmann" sowie Sicherungsanfragen an die Empfängerbanken (Rechtshilfeersuchen über Interpol/Eurojust).</w:t>
      </w:r>
    </w:p>
    <w:p>
      <w:pPr>
        <w:spacing w:after="200"/>
      </w:pPr>
      <w:r>
        <w:rPr>
          <w:sz w:val="22"/>
          <w:szCs w:val="22"/>
        </w:rPr>
        <w:t xml:space="preserve">Bremen, 08. April 2026</w:t>
      </w:r>
    </w:p>
    <w:p>
      <w:pPr>
        <w:spacing w:after="80"/>
      </w:pPr>
      <w:r>
        <w:rPr>
          <w:b/>
          <w:bCs/>
          <w:sz w:val="22"/>
          <w:szCs w:val="22"/>
        </w:rPr>
        <w:t xml:space="preserve">Rechtsanwalt Dr. Severin Pflüger</w:t>
      </w:r>
    </w:p>
    <w:p>
      <w:pPr>
        <w:spacing w:after="80"/>
      </w:pPr>
      <w:r>
        <w:rPr>
          <w:sz w:val="22"/>
          <w:szCs w:val="22"/>
        </w:rPr>
        <w:t xml:space="preserve">Fachanwalt für Bank- und Kapitalmarktrecht</w:t>
      </w:r>
    </w:p>
    <w:p>
      <w:r>
        <w:rPr>
          <w:sz w:val="22"/>
          <w:szCs w:val="22"/>
        </w:rPr>
        <w:t xml:space="preserve">Kanzlei Pflüger Schoeneberg Bankrecht, Bremen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Strafanzeige CryptoFutureMax Wittfeldt</dc:title>
  <dc:creator>Kanzlei Pflüger Schoeneberg Bankrecht</dc:creator>
  <dc:description>Strafanzeige wegen Betrugs gemäß § 263 StGB</dc:description>
  <cp:lastModifiedBy>Un-named</cp:lastModifiedBy>
  <cp:revision>1</cp:revision>
  <dcterms:created xsi:type="dcterms:W3CDTF">2026-05-30T15:17:35.245Z</dcterms:created>
  <dcterms:modified xsi:type="dcterms:W3CDTF">2026-05-30T15:17:35.246Z</dcterms:modified>
</cp:coreProperties>
</file>

<file path=docProps/custom.xml><?xml version="1.0" encoding="utf-8"?>
<Properties xmlns="http://schemas.openxmlformats.org/officeDocument/2006/custom-properties" xmlns:vt="http://schemas.openxmlformats.org/officeDocument/2006/docPropsVTypes"/>
</file>