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rFonts w:ascii="Calibri" w:cs="Calibri" w:eastAsia="Calibri" w:hAnsi="Calibri"/>
          <w:b/>
          <w:bCs/>
          <w:sz w:val="28"/>
          <w:szCs w:val="28"/>
        </w:rPr>
        <w:t xml:space="preserve">COURT OF ARBITRATION FOR SPORT (CAS)</w:t>
      </w:r>
    </w:p>
    <w:p>
      <w:pPr>
        <w:jc w:val="center"/>
      </w:pPr>
      <w:r>
        <w:rPr>
          <w:rFonts w:ascii="Calibri" w:cs="Calibri" w:eastAsia="Calibri" w:hAnsi="Calibri"/>
          <w:i/>
          <w:iCs/>
          <w:sz w:val="22"/>
          <w:szCs w:val="22"/>
        </w:rPr>
        <w:t xml:space="preserve">Tribunal Arbitral du Sport</w:t>
      </w:r>
    </w:p>
    <w:p>
      <w:pPr>
        <w:jc w:val="center"/>
      </w:pPr>
      <w:r>
        <w:rPr>
          <w:rFonts w:ascii="Calibri" w:cs="Calibri" w:eastAsia="Calibri" w:hAnsi="Calibri"/>
          <w:sz w:val="20"/>
          <w:szCs w:val="20"/>
        </w:rPr>
        <w:t xml:space="preserve">Avenue de Beaumont 2, 1012 Lausanne, Schweiz</w:t>
      </w:r>
    </w:p>
    <w:p>
      <w:pPr>
        <w:spacing w:after="50" w:before="50"/>
      </w:pPr>
    </w:p>
    <w:p>
      <w:pPr>
        <w:jc w:val="center"/>
      </w:pPr>
      <w:r>
        <w:rPr>
          <w:rFonts w:ascii="Calibri" w:cs="Calibri" w:eastAsia="Calibri" w:hAnsi="Calibri"/>
          <w:b/>
          <w:bCs/>
          <w:sz w:val="24"/>
          <w:szCs w:val="24"/>
        </w:rPr>
        <w:t xml:space="preserve">Az. CAS 2026/A/8821</w:t>
      </w:r>
    </w:p>
    <w:p>
      <w:pPr>
        <w:spacing w:after="50" w:before="50"/>
      </w:pPr>
    </w:p>
    <w:p>
      <w:pPr>
        <w:jc w:val="center"/>
      </w:pPr>
      <w:r>
        <w:rPr>
          <w:rFonts w:ascii="Calibri" w:cs="Calibri" w:eastAsia="Calibri" w:hAnsi="Calibri"/>
          <w:sz w:val="22"/>
          <w:szCs w:val="22"/>
        </w:rPr>
        <w:t xml:space="preserve">Selin Uvalkanat (Appellant)</w:t>
      </w:r>
    </w:p>
    <w:p>
      <w:pPr>
        <w:jc w:val="center"/>
      </w:pPr>
      <w:r>
        <w:rPr>
          <w:rFonts w:ascii="Calibri" w:cs="Calibri" w:eastAsia="Calibri" w:hAnsi="Calibri"/>
          <w:i/>
          <w:iCs/>
          <w:sz w:val="22"/>
          <w:szCs w:val="22"/>
        </w:rPr>
        <w:t xml:space="preserve">gegen / vs.</w:t>
      </w:r>
    </w:p>
    <w:p>
      <w:pPr>
        <w:jc w:val="center"/>
      </w:pPr>
      <w:r>
        <w:rPr>
          <w:rFonts w:ascii="Calibri" w:cs="Calibri" w:eastAsia="Calibri" w:hAnsi="Calibri"/>
          <w:sz w:val="22"/>
          <w:szCs w:val="22"/>
        </w:rPr>
        <w:t xml:space="preserve">NADA Deutschland e.V. (Respondent)</w:t>
      </w:r>
    </w:p>
    <w:p>
      <w:pPr>
        <w:spacing w:after="50" w:before="50"/>
      </w:pPr>
    </w:p>
    <w:p>
      <w:pPr>
        <w:jc w:val="center"/>
      </w:pPr>
      <w:r>
        <w:rPr>
          <w:rFonts w:ascii="Calibri" w:cs="Calibri" w:eastAsia="Calibri" w:hAnsi="Calibri"/>
          <w:b/>
          <w:bCs/>
          <w:sz w:val="26"/>
          <w:szCs w:val="26"/>
        </w:rPr>
        <w:t xml:space="preserve">APPEAL BRIEF</w:t>
      </w:r>
    </w:p>
    <w:p>
      <w:pPr>
        <w:jc w:val="center"/>
      </w:pPr>
      <w:r>
        <w:rPr>
          <w:rFonts w:ascii="Calibri" w:cs="Calibri" w:eastAsia="Calibri" w:hAnsi="Calibri"/>
          <w:i/>
          <w:iCs/>
          <w:sz w:val="20"/>
          <w:szCs w:val="20"/>
        </w:rPr>
        <w:t xml:space="preserve">eingereicht gemäß Art. R51 CAS Code</w:t>
      </w:r>
    </w:p>
    <w:p>
      <w:pPr>
        <w:spacing w:after="50" w:before="50"/>
      </w:pPr>
    </w:p>
    <w:p>
      <w:pPr>
        <w:jc w:val="right"/>
      </w:pPr>
      <w:r>
        <w:rPr>
          <w:rFonts w:ascii="Calibri" w:cs="Calibri" w:eastAsia="Calibri" w:hAnsi="Calibri"/>
          <w:sz w:val="22"/>
          <w:szCs w:val="22"/>
        </w:rPr>
        <w:t xml:space="preserve">Stuttgart, 30. August 2026</w:t>
      </w:r>
    </w:p>
    <w:p>
      <w:pPr>
        <w:spacing w:after="50" w:before="50"/>
      </w:pPr>
    </w:p>
    <w:p>
      <w:pPr>
        <w:pStyle w:val="Heading2"/>
        <w:spacing w:after="150" w:before="300"/>
      </w:pPr>
      <w:r>
        <w:t xml:space="preserve">I. Introduction</w:t>
      </w:r>
    </w:p>
    <w:p>
      <w:pPr>
        <w:spacing w:after="100" w:before="100"/>
        <w:jc w:val="both"/>
      </w:pPr>
      <w:r>
        <w:rPr>
          <w:rFonts w:ascii="Calibri" w:cs="Calibri" w:eastAsia="Calibri" w:hAnsi="Calibri"/>
          <w:sz w:val="22"/>
          <w:szCs w:val="22"/>
        </w:rPr>
        <w:t xml:space="preserve">The Appellant Selin Uvalkanat, a German national handball player competing for BSV Sachsen Zwickau and the German National Handball Team (DHB), respectfully submits this Appeal Brief against the Award issued by the German Sports Arbitration Court (DSGSp 12/26, dated 30 June 2026), which imposed a two-year period of ineligibility.</w:t>
      </w:r>
    </w:p>
    <w:p>
      <w:pPr>
        <w:spacing w:after="100" w:before="100"/>
        <w:jc w:val="both"/>
      </w:pPr>
      <w:r>
        <w:rPr>
          <w:rFonts w:ascii="Calibri" w:cs="Calibri" w:eastAsia="Calibri" w:hAnsi="Calibri"/>
          <w:sz w:val="22"/>
          <w:szCs w:val="22"/>
        </w:rPr>
        <w:t xml:space="preserve">The Appellant submits that the Arbitration Panel below erred in law and in the assessment of facts by: (1) failing to apply Art. 10.5.2 NADC 2021 (No Fault or Negligence) to the established supplement contamination; (2) incorrectly calibrating the degree of fault under Art. 10.5.1 NADC 2021; and (3) failing to take adequate account of the structural failure by DHB and BSV Sachsen Zwickau to provide anti-doping education and supplement guidance.</w:t>
      </w:r>
    </w:p>
    <w:p>
      <w:pPr>
        <w:pStyle w:val="Heading2"/>
        <w:spacing w:after="150" w:before="300"/>
      </w:pPr>
      <w:r>
        <w:t xml:space="preserve">II. Facts</w:t>
      </w:r>
    </w:p>
    <w:p>
      <w:pPr>
        <w:spacing w:after="100" w:before="100"/>
        <w:jc w:val="both"/>
      </w:pPr>
      <w:r>
        <w:rPr>
          <w:rFonts w:ascii="Calibri" w:cs="Calibri" w:eastAsia="Calibri" w:hAnsi="Calibri"/>
          <w:sz w:val="22"/>
          <w:szCs w:val="22"/>
        </w:rPr>
        <w:t xml:space="preserve">2.1 The Appellant is a 26-year-old left-wing handball player. She has been a member of the NADA Registered Testing Pool since 1 January 2023. She has never previously committed an anti-doping rule violation.</w:t>
      </w:r>
    </w:p>
    <w:p>
      <w:pPr>
        <w:spacing w:after="100" w:before="100"/>
        <w:jc w:val="both"/>
      </w:pPr>
      <w:r>
        <w:rPr>
          <w:rFonts w:ascii="Calibri" w:cs="Calibri" w:eastAsia="Calibri" w:hAnsi="Calibri"/>
          <w:sz w:val="22"/>
          <w:szCs w:val="22"/>
        </w:rPr>
        <w:t xml:space="preserve">2.2 On 18 February 2026, the Appellant provided a urine sample during an out-of-competition test at BSV Sachsen Zwickau. Analysis at the WADA-accredited DSHS Cologne laboratory revealed Meldonium at 0.54 µg/mL — 8 % above the applicable threshold of 0.50 µg/mL (WADA Technical Document TD2022DL).</w:t>
      </w:r>
    </w:p>
    <w:p>
      <w:pPr>
        <w:spacing w:after="100" w:before="100"/>
        <w:jc w:val="both"/>
      </w:pPr>
      <w:r>
        <w:rPr>
          <w:rFonts w:ascii="Calibri" w:cs="Calibri" w:eastAsia="Calibri" w:hAnsi="Calibri"/>
          <w:sz w:val="22"/>
          <w:szCs w:val="22"/>
        </w:rPr>
        <w:t xml:space="preserve">2.3 The B-sample, analysed on 4 March 2026 in the presence of the Appellant's expert witness Prof. Dr. Kempa and her legal representative, confirmed the finding at 0.52 µg/mL.</w:t>
      </w:r>
    </w:p>
    <w:p>
      <w:pPr>
        <w:spacing w:after="100" w:before="100"/>
        <w:jc w:val="both"/>
      </w:pPr>
      <w:r>
        <w:rPr>
          <w:rFonts w:ascii="Calibri" w:cs="Calibri" w:eastAsia="Calibri" w:hAnsi="Calibri"/>
          <w:sz w:val="22"/>
          <w:szCs w:val="22"/>
        </w:rPr>
        <w:t xml:space="preserve">2.4 Independent analysis by LGC Standards GmbH Hamburg (Report No. LGC-2026-0310-4188, 1 April 2026) demonstrated that the Appellant's supplement RecoveryMax Pro, batch 22-4188, manufactured by PowerNutrition GmbH, Memmingen, contained 0.84 mg of undeclared Meldonium per capsule. This contamination, at two capsules per day over approximately 60 days, pharmacokinetically explains the urine concentration found (Expert Report Prof. Dr. Kempa, 20 April 2026).</w:t>
      </w:r>
    </w:p>
    <w:p>
      <w:pPr>
        <w:pStyle w:val="Heading2"/>
        <w:spacing w:after="150" w:before="300"/>
      </w:pPr>
      <w:r>
        <w:t xml:space="preserve">III. Legal Arguments</w:t>
      </w:r>
    </w:p>
    <w:p>
      <w:pPr>
        <w:spacing w:after="60" w:before="120"/>
      </w:pPr>
      <w:r>
        <w:rPr>
          <w:rFonts w:ascii="Calibri" w:cs="Calibri" w:eastAsia="Calibri" w:hAnsi="Calibri"/>
          <w:b/>
          <w:bCs/>
          <w:sz w:val="22"/>
          <w:szCs w:val="22"/>
        </w:rPr>
        <w:t xml:space="preserve">A. The Panel Should Apply Art. 10.5.2 NADC: No Fault or Negligence</w:t>
      </w:r>
    </w:p>
    <w:p>
      <w:pPr>
        <w:spacing w:after="100" w:before="100"/>
        <w:jc w:val="both"/>
      </w:pPr>
      <w:r>
        <w:rPr>
          <w:rFonts w:ascii="Calibri" w:cs="Calibri" w:eastAsia="Calibri" w:hAnsi="Calibri"/>
          <w:sz w:val="22"/>
          <w:szCs w:val="22"/>
        </w:rPr>
        <w:t xml:space="preserve">Art. 10.5.2 NADC 2021 requires: (i) the athlete bears No Fault or Negligence; and (ii) the source of the prohibited substance is established. Both requirements are met here.</w:t>
      </w:r>
    </w:p>
    <w:p>
      <w:pPr>
        <w:spacing w:after="100" w:before="100"/>
        <w:jc w:val="both"/>
      </w:pPr>
      <w:r>
        <w:rPr>
          <w:rFonts w:ascii="Calibri" w:cs="Calibri" w:eastAsia="Calibri" w:hAnsi="Calibri"/>
          <w:sz w:val="22"/>
          <w:szCs w:val="22"/>
        </w:rPr>
        <w:t xml:space="preserve">The contamination of the supplement is conclusively established by laboratory analysis. The Appellant checked the label prior to use and found no prohibited substances listed. The product was recommended by her club coach and presented as safe for athletes. The Appellant had no reason to suspect contamination of a product sourced from a German manufacturer subject to EU food law. The Global DRO check, while best practice, was not the only standard of care applicable to a 26-year-old athlete who received no systematic anti-doping education from her federation or club.</w:t>
      </w:r>
    </w:p>
    <w:p>
      <w:pPr>
        <w:spacing w:after="100" w:before="100"/>
        <w:jc w:val="both"/>
      </w:pPr>
      <w:r>
        <w:rPr>
          <w:rFonts w:ascii="Calibri" w:cs="Calibri" w:eastAsia="Calibri" w:hAnsi="Calibri"/>
          <w:sz w:val="22"/>
          <w:szCs w:val="22"/>
        </w:rPr>
        <w:t xml:space="preserve">In CAS 2016/A/4372 (Halep), the Panel applied Art. 10.5.2 in circumstances directly comparable to the present case: a supplement contamination with an undeclared substance, no prior violations, no suspicious behaviour, source established. The CAS Panel reduced the period of ineligibility to one month.</w:t>
      </w:r>
    </w:p>
    <w:p>
      <w:pPr>
        <w:spacing w:after="100" w:before="100"/>
        <w:jc w:val="both"/>
      </w:pPr>
      <w:r>
        <w:rPr>
          <w:rFonts w:ascii="Calibri" w:cs="Calibri" w:eastAsia="Calibri" w:hAnsi="Calibri"/>
          <w:sz w:val="22"/>
          <w:szCs w:val="22"/>
        </w:rPr>
        <w:t xml:space="preserve">In CAS 2024/A/9317 (Pawłowski), the Panel reduced a Meldonium contamination case from 24 months to six months under Art. 10.5.1. The factual matrix of that case — almost identical threshold exceedance (0.58 µg/mL), supplement contamination established — is directly applicable here.</w:t>
      </w:r>
    </w:p>
    <w:p>
      <w:pPr>
        <w:spacing w:after="60" w:before="120"/>
      </w:pPr>
      <w:r>
        <w:rPr>
          <w:rFonts w:ascii="Calibri" w:cs="Calibri" w:eastAsia="Calibri" w:hAnsi="Calibri"/>
          <w:b/>
          <w:bCs/>
          <w:sz w:val="22"/>
          <w:szCs w:val="22"/>
        </w:rPr>
        <w:t xml:space="preserve">B. Alternatively, Art. 10.5.1 NADC Requires a Maximum of Eight Months</w:t>
      </w:r>
    </w:p>
    <w:p>
      <w:pPr>
        <w:spacing w:after="100" w:before="100"/>
        <w:jc w:val="both"/>
      </w:pPr>
      <w:r>
        <w:rPr>
          <w:rFonts w:ascii="Calibri" w:cs="Calibri" w:eastAsia="Calibri" w:hAnsi="Calibri"/>
          <w:sz w:val="22"/>
          <w:szCs w:val="22"/>
        </w:rPr>
        <w:t xml:space="preserve">Even if the Panel does not find No Fault, the degree of negligence does not exceed the lowest level. The Panel below found "medium-low" fault without adequate reasoning. Under the established CAS matrix (CAS 2011/A/2566, CAS 2015/A/4126), fault level in supplement contamination cases where the product is checked and sourced from a regulated market is "low." A low-fault finding under Art. 10.5.1 NADC for a non-specified substance yields a maximum of 16 months from the starting point of 24 months; accounting for the 7-month provisional suspension already served, the resulting period of ineligibility would be de facto extinguished.</w:t>
      </w:r>
    </w:p>
    <w:p>
      <w:pPr>
        <w:spacing w:after="60" w:before="120"/>
      </w:pPr>
      <w:r>
        <w:rPr>
          <w:rFonts w:ascii="Calibri" w:cs="Calibri" w:eastAsia="Calibri" w:hAnsi="Calibri"/>
          <w:b/>
          <w:bCs/>
          <w:sz w:val="22"/>
          <w:szCs w:val="22"/>
        </w:rPr>
        <w:t xml:space="preserve">C. Structural Failure of DHB and BSV Sachsen Zwickau</w:t>
      </w:r>
    </w:p>
    <w:p>
      <w:pPr>
        <w:spacing w:after="100" w:before="100"/>
        <w:jc w:val="both"/>
      </w:pPr>
      <w:r>
        <w:rPr>
          <w:rFonts w:ascii="Calibri" w:cs="Calibri" w:eastAsia="Calibri" w:hAnsi="Calibri"/>
          <w:sz w:val="22"/>
          <w:szCs w:val="22"/>
        </w:rPr>
        <w:t xml:space="preserve">WADA's Anti-Doping Education Framework 2023 requires national federations to ensure athletes receive supplement training. DHB and BSV provided no such programme. The Panel below ignored this mitigating factor entirely. This constitutes a reviewable error of law under Art. R57 CAS Code, which provides for de novo review of the legal and factual findings of the first instance Panel.</w:t>
      </w:r>
    </w:p>
    <w:p>
      <w:pPr>
        <w:pStyle w:val="Heading2"/>
        <w:spacing w:after="150" w:before="300"/>
      </w:pPr>
      <w:r>
        <w:t xml:space="preserve">IV. Relief Requested</w:t>
      </w:r>
    </w:p>
    <w:p>
      <w:pPr>
        <w:spacing w:after="100" w:before="100"/>
        <w:jc w:val="both"/>
      </w:pPr>
      <w:r>
        <w:rPr>
          <w:rFonts w:ascii="Calibri" w:cs="Calibri" w:eastAsia="Calibri" w:hAnsi="Calibri"/>
          <w:sz w:val="22"/>
          <w:szCs w:val="22"/>
        </w:rPr>
        <w:t xml:space="preserve">The Appellant respectfully requests the CAS Panel to:</w:t>
      </w:r>
    </w:p>
    <w:p>
      <w:pPr>
        <w:spacing w:after="100" w:before="100"/>
        <w:jc w:val="both"/>
      </w:pPr>
      <w:r>
        <w:rPr>
          <w:rFonts w:ascii="Calibri" w:cs="Calibri" w:eastAsia="Calibri" w:hAnsi="Calibri"/>
          <w:sz w:val="22"/>
          <w:szCs w:val="22"/>
        </w:rPr>
        <w:t xml:space="preserve">1. Set aside the Award of DSGSp 12/26 insofar as it imposes a two-year period of ineligibility.</w:t>
      </w:r>
    </w:p>
    <w:p>
      <w:pPr>
        <w:spacing w:after="100" w:before="100"/>
        <w:jc w:val="both"/>
      </w:pPr>
      <w:r>
        <w:rPr>
          <w:rFonts w:ascii="Calibri" w:cs="Calibri" w:eastAsia="Calibri" w:hAnsi="Calibri"/>
          <w:sz w:val="22"/>
          <w:szCs w:val="22"/>
        </w:rPr>
        <w:t xml:space="preserve">2. Declare that no period of ineligibility is imposed under Art. 10.5.2 NADC 2021.</w:t>
      </w:r>
    </w:p>
    <w:p>
      <w:pPr>
        <w:spacing w:after="100" w:before="100"/>
        <w:jc w:val="both"/>
      </w:pPr>
      <w:r>
        <w:rPr>
          <w:rFonts w:ascii="Calibri" w:cs="Calibri" w:eastAsia="Calibri" w:hAnsi="Calibri"/>
          <w:sz w:val="22"/>
          <w:szCs w:val="22"/>
        </w:rPr>
        <w:t xml:space="preserve">3. In the alternative, reduce the period of ineligibility to a maximum of eight months, with credit for the provisional suspension from 28 February 2026.</w:t>
      </w:r>
    </w:p>
    <w:p>
      <w:pPr>
        <w:spacing w:after="100" w:before="100"/>
        <w:jc w:val="both"/>
      </w:pPr>
      <w:r>
        <w:rPr>
          <w:rFonts w:ascii="Calibri" w:cs="Calibri" w:eastAsia="Calibri" w:hAnsi="Calibri"/>
          <w:sz w:val="22"/>
          <w:szCs w:val="22"/>
        </w:rPr>
        <w:t xml:space="preserve">4. Order NADA to bear the costs of the arbitration proceedings and the Appellant's legal costs.</w:t>
      </w:r>
    </w:p>
    <w:p>
      <w:pPr>
        <w:pStyle w:val="Heading2"/>
        <w:spacing w:after="150" w:before="300"/>
      </w:pPr>
      <w:r>
        <w:t xml:space="preserve">V. Exhibits</w:t>
      </w:r>
    </w:p>
    <w:p>
      <w:pPr>
        <w:spacing w:after="100" w:before="100"/>
        <w:jc w:val="both"/>
      </w:pPr>
      <w:r>
        <w:rPr>
          <w:rFonts w:ascii="Calibri" w:cs="Calibri" w:eastAsia="Calibri" w:hAnsi="Calibri"/>
          <w:sz w:val="22"/>
          <w:szCs w:val="22"/>
        </w:rPr>
        <w:t xml:space="preserve">Exhibit 1: Award DSGSp 12/26, 30 June 2026</w:t>
      </w:r>
    </w:p>
    <w:p>
      <w:pPr>
        <w:spacing w:after="100" w:before="100"/>
        <w:jc w:val="both"/>
      </w:pPr>
      <w:r>
        <w:rPr>
          <w:rFonts w:ascii="Calibri" w:cs="Calibri" w:eastAsia="Calibri" w:hAnsi="Calibri"/>
          <w:sz w:val="22"/>
          <w:szCs w:val="22"/>
        </w:rPr>
        <w:t xml:space="preserve">Exhibit 2: LGC Standards Analysis Report No. LGC-2026-0310-4188, 1 April 2026</w:t>
      </w:r>
    </w:p>
    <w:p>
      <w:pPr>
        <w:spacing w:after="100" w:before="100"/>
        <w:jc w:val="both"/>
      </w:pPr>
      <w:r>
        <w:rPr>
          <w:rFonts w:ascii="Calibri" w:cs="Calibri" w:eastAsia="Calibri" w:hAnsi="Calibri"/>
          <w:sz w:val="22"/>
          <w:szCs w:val="22"/>
        </w:rPr>
        <w:t xml:space="preserve">Exhibit 3: Expert Report Prof. Dr. Kempa, 20 April 2026</w:t>
      </w:r>
    </w:p>
    <w:p>
      <w:pPr>
        <w:spacing w:after="100" w:before="100"/>
        <w:jc w:val="both"/>
      </w:pPr>
      <w:r>
        <w:rPr>
          <w:rFonts w:ascii="Calibri" w:cs="Calibri" w:eastAsia="Calibri" w:hAnsi="Calibri"/>
          <w:sz w:val="22"/>
          <w:szCs w:val="22"/>
        </w:rPr>
        <w:t xml:space="preserve">Exhibit 4: DSHS Cologne B-Sample Analysis Protocol, 4 March 2026</w:t>
      </w:r>
    </w:p>
    <w:p>
      <w:pPr>
        <w:spacing w:after="100" w:before="100"/>
        <w:jc w:val="both"/>
      </w:pPr>
      <w:r>
        <w:rPr>
          <w:rFonts w:ascii="Calibri" w:cs="Calibri" w:eastAsia="Calibri" w:hAnsi="Calibri"/>
          <w:sz w:val="22"/>
          <w:szCs w:val="22"/>
        </w:rPr>
        <w:t xml:space="preserve">Exhibit 5: CAS 2024/A/9317 (Pawłowski v. PZPS)</w:t>
      </w:r>
    </w:p>
    <w:p>
      <w:pPr>
        <w:spacing w:after="100" w:before="100"/>
        <w:jc w:val="both"/>
      </w:pPr>
      <w:r>
        <w:rPr>
          <w:rFonts w:ascii="Calibri" w:cs="Calibri" w:eastAsia="Calibri" w:hAnsi="Calibri"/>
          <w:sz w:val="22"/>
          <w:szCs w:val="22"/>
        </w:rPr>
        <w:t xml:space="preserve">Exhibit 6: CAS 2016/A/4372 (Halep v. ITF)</w:t>
      </w:r>
    </w:p>
    <w:p>
      <w:pPr>
        <w:spacing w:after="100" w:before="100"/>
        <w:jc w:val="both"/>
      </w:pPr>
      <w:r>
        <w:rPr>
          <w:rFonts w:ascii="Calibri" w:cs="Calibri" w:eastAsia="Calibri" w:hAnsi="Calibri"/>
          <w:sz w:val="22"/>
          <w:szCs w:val="22"/>
        </w:rPr>
        <w:t xml:space="preserve">Exhibit 7: WADA Anti-Doping Education Framework 2023</w:t>
      </w:r>
    </w:p>
    <w:p>
      <w:pPr>
        <w:spacing w:after="100" w:before="100"/>
        <w:jc w:val="both"/>
      </w:pPr>
      <w:r>
        <w:rPr>
          <w:rFonts w:ascii="Calibri" w:cs="Calibri" w:eastAsia="Calibri" w:hAnsi="Calibri"/>
          <w:sz w:val="22"/>
          <w:szCs w:val="22"/>
        </w:rPr>
        <w:t xml:space="preserve">Exhibit 8: Sworn Statement Barbara Ehrfeld, 10 May 2026</w:t>
      </w:r>
    </w:p>
    <w:p>
      <w:pPr>
        <w:spacing w:after="50" w:before="50"/>
      </w:pPr>
    </w:p>
    <w:p>
      <w:r>
        <w:rPr>
          <w:rFonts w:ascii="Calibri" w:cs="Calibri" w:eastAsia="Calibri" w:hAnsi="Calibri"/>
          <w:sz w:val="22"/>
          <w:szCs w:val="22"/>
        </w:rPr>
        <w:t xml:space="preserve">Respectfully submitted,</w:t>
      </w:r>
    </w:p>
    <w:p>
      <w:pPr>
        <w:spacing w:after="50" w:before="50"/>
      </w:pPr>
    </w:p>
    <w:p>
      <w:r>
        <w:rPr>
          <w:rFonts w:ascii="Calibri" w:cs="Calibri" w:eastAsia="Calibri" w:hAnsi="Calibri"/>
          <w:b/>
          <w:bCs/>
          <w:sz w:val="22"/>
          <w:szCs w:val="22"/>
        </w:rPr>
        <w:t xml:space="preserve">Prof. Dr. Markus Lentze</w:t>
      </w:r>
    </w:p>
    <w:p>
      <w:r>
        <w:rPr>
          <w:rFonts w:ascii="Calibri" w:cs="Calibri" w:eastAsia="Calibri" w:hAnsi="Calibri"/>
          <w:sz w:val="22"/>
          <w:szCs w:val="22"/>
        </w:rPr>
        <w:t xml:space="preserve">Rechtsanwalt | Attorney-at-Law</w:t>
      </w:r>
    </w:p>
    <w:p>
      <w:r>
        <w:rPr>
          <w:rFonts w:ascii="Calibri" w:cs="Calibri" w:eastAsia="Calibri" w:hAnsi="Calibri"/>
          <w:sz w:val="22"/>
          <w:szCs w:val="22"/>
        </w:rPr>
        <w:t xml:space="preserve">Lentze, Stopper &amp; Partner</w:t>
      </w:r>
    </w:p>
    <w:p>
      <w:r>
        <w:rPr>
          <w:rFonts w:ascii="Calibri" w:cs="Calibri" w:eastAsia="Calibri" w:hAnsi="Calibri"/>
          <w:sz w:val="22"/>
          <w:szCs w:val="22"/>
        </w:rPr>
        <w:t xml:space="preserve">Kronenstraße 55, 70174 Stuttgart, Germany</w:t>
      </w:r>
    </w:p>
    <w:p>
      <w:r>
        <w:rPr>
          <w:rFonts w:ascii="Calibri" w:cs="Calibri" w:eastAsia="Calibri" w:hAnsi="Calibri"/>
          <w:sz w:val="22"/>
          <w:szCs w:val="22"/>
        </w:rPr>
        <w:t xml:space="preserve">Stuttgart, 30 August 2026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2026/A/8821 — Appeal Brief Uvalkanat</dc:title>
  <dc:creator>Lentze, Stopper &amp; Partner</dc:creator>
  <dc:description>Appeal Brief vor dem Court of Arbitration for Sport, CAS 2026/A/8821</dc:description>
  <cp:lastModifiedBy>Un-named</cp:lastModifiedBy>
  <cp:revision>1</cp:revision>
  <dcterms:created xsi:type="dcterms:W3CDTF">2026-05-30T16:48:17.540Z</dcterms:created>
  <dcterms:modified xsi:type="dcterms:W3CDTF">2026-05-30T16:48:17.540Z</dcterms:modified>
</cp:coreProperties>
</file>

<file path=docProps/custom.xml><?xml version="1.0" encoding="utf-8"?>
<Properties xmlns="http://schemas.openxmlformats.org/officeDocument/2006/custom-properties" xmlns:vt="http://schemas.openxmlformats.org/officeDocument/2006/docPropsVTypes"/>
</file>