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rFonts w:ascii="Calibri" w:cs="Calibri" w:eastAsia="Calibri" w:hAnsi="Calibri"/>
          <w:sz w:val="22"/>
          <w:szCs w:val="22"/>
        </w:rPr>
        <w:t xml:space="preserve">An das</w:t>
      </w:r>
    </w:p>
    <w:p>
      <w:r>
        <w:rPr>
          <w:rFonts w:ascii="Calibri" w:cs="Calibri" w:eastAsia="Calibri" w:hAnsi="Calibri"/>
          <w:b/>
          <w:bCs/>
          <w:sz w:val="24"/>
          <w:szCs w:val="24"/>
        </w:rPr>
        <w:t xml:space="preserve">Arbeitsgericht Chemnitz</w:t>
      </w:r>
    </w:p>
    <w:p>
      <w:r>
        <w:rPr>
          <w:rFonts w:ascii="Calibri" w:cs="Calibri" w:eastAsia="Calibri" w:hAnsi="Calibri"/>
          <w:sz w:val="22"/>
          <w:szCs w:val="22"/>
        </w:rPr>
        <w:t xml:space="preserve">Annaberger Straße 204</w:t>
      </w:r>
    </w:p>
    <w:p>
      <w:r>
        <w:rPr>
          <w:rFonts w:ascii="Calibri" w:cs="Calibri" w:eastAsia="Calibri" w:hAnsi="Calibri"/>
          <w:sz w:val="22"/>
          <w:szCs w:val="22"/>
        </w:rPr>
        <w:t xml:space="preserve">09120 Chemnitz</w:t>
      </w:r>
    </w:p>
    <w:p>
      <w:pPr>
        <w:spacing w:after="50" w:before="50"/>
      </w:pPr>
    </w:p>
    <w:p>
      <w:pPr>
        <w:jc w:val="right"/>
      </w:pPr>
      <w:r>
        <w:rPr>
          <w:rFonts w:ascii="Calibri" w:cs="Calibri" w:eastAsia="Calibri" w:hAnsi="Calibri"/>
          <w:sz w:val="22"/>
          <w:szCs w:val="22"/>
        </w:rPr>
        <w:t xml:space="preserve">Stuttgart, 20. März 2026</w:t>
      </w:r>
    </w:p>
    <w:p>
      <w:pPr>
        <w:spacing w:after="50" w:before="50"/>
      </w:pPr>
    </w:p>
    <w:p>
      <w:pPr>
        <w:jc w:val="center"/>
      </w:pPr>
      <w:r>
        <w:rPr>
          <w:rFonts w:ascii="Calibri" w:cs="Calibri" w:eastAsia="Calibri" w:hAnsi="Calibri"/>
          <w:b/>
          <w:bCs/>
          <w:sz w:val="30"/>
          <w:szCs w:val="30"/>
        </w:rPr>
        <w:t xml:space="preserve">KLAGE</w:t>
      </w:r>
    </w:p>
    <w:p>
      <w:pPr>
        <w:jc w:val="center"/>
      </w:pPr>
      <w:r>
        <w:rPr>
          <w:rFonts w:ascii="Calibri" w:cs="Calibri" w:eastAsia="Calibri" w:hAnsi="Calibri"/>
          <w:sz w:val="22"/>
          <w:szCs w:val="22"/>
        </w:rPr>
        <w:t xml:space="preserve">Im Verfahren</w:t>
      </w:r>
    </w:p>
    <w:p>
      <w:pPr>
        <w:spacing w:after="50" w:before="50"/>
      </w:pPr>
    </w:p>
    <w:p>
      <w:r>
        <w:rPr>
          <w:rFonts w:ascii="Calibri" w:cs="Calibri" w:eastAsia="Calibri" w:hAnsi="Calibri"/>
          <w:b/>
          <w:bCs/>
          <w:sz w:val="22"/>
          <w:szCs w:val="22"/>
        </w:rPr>
        <w:t xml:space="preserve">Klägerin:</w:t>
      </w:r>
    </w:p>
    <w:p>
      <w:r>
        <w:rPr>
          <w:rFonts w:ascii="Calibri" w:cs="Calibri" w:eastAsia="Calibri" w:hAnsi="Calibri"/>
          <w:sz w:val="22"/>
          <w:szCs w:val="22"/>
        </w:rPr>
        <w:t xml:space="preserve">Selin Uvalkanat, Karl-Marx-Straße 47, 08056 Zwickau</w:t>
      </w:r>
    </w:p>
    <w:p>
      <w:r>
        <w:rPr>
          <w:rFonts w:ascii="Calibri" w:cs="Calibri" w:eastAsia="Calibri" w:hAnsi="Calibri"/>
          <w:i/>
          <w:iCs/>
          <w:sz w:val="20"/>
          <w:szCs w:val="20"/>
        </w:rPr>
        <w:t xml:space="preserve">— Prozessbevollmächtigte: Kanzlei Lentze, Stopper &amp; Partner, Stuttgart —</w:t>
      </w:r>
    </w:p>
    <w:p>
      <w:pPr>
        <w:spacing w:after="50" w:before="50"/>
      </w:pPr>
    </w:p>
    <w:p>
      <w:r>
        <w:rPr>
          <w:rFonts w:ascii="Calibri" w:cs="Calibri" w:eastAsia="Calibri" w:hAnsi="Calibri"/>
          <w:b/>
          <w:bCs/>
          <w:sz w:val="22"/>
          <w:szCs w:val="22"/>
        </w:rPr>
        <w:t xml:space="preserve">Beklagter:</w:t>
      </w:r>
    </w:p>
    <w:p>
      <w:r>
        <w:rPr>
          <w:rFonts w:ascii="Calibri" w:cs="Calibri" w:eastAsia="Calibri" w:hAnsi="Calibri"/>
          <w:sz w:val="22"/>
          <w:szCs w:val="22"/>
        </w:rPr>
        <w:t xml:space="preserve">BSV Sachsen Zwickau e.V., Am Scheffelberg 3, 08056 Zwickau</w:t>
      </w:r>
    </w:p>
    <w:p>
      <w:r>
        <w:rPr>
          <w:rFonts w:ascii="Calibri" w:cs="Calibri" w:eastAsia="Calibri" w:hAnsi="Calibri"/>
          <w:i/>
          <w:iCs/>
          <w:sz w:val="20"/>
          <w:szCs w:val="20"/>
        </w:rPr>
        <w:t xml:space="preserve">— vertreten durch Vorstand Volker Bernstein —</w:t>
      </w:r>
    </w:p>
    <w:p>
      <w:pPr>
        <w:spacing w:after="50" w:before="50"/>
      </w:pPr>
    </w:p>
    <w:p>
      <w:r>
        <w:rPr>
          <w:rFonts w:ascii="Calibri" w:cs="Calibri" w:eastAsia="Calibri" w:hAnsi="Calibri"/>
          <w:b/>
          <w:bCs/>
          <w:sz w:val="22"/>
          <w:szCs w:val="22"/>
        </w:rPr>
        <w:t xml:space="preserve">wegen: Kündigungsschutz, Annahmeverzugslohn</w:t>
      </w:r>
    </w:p>
    <w:p>
      <w:r>
        <w:rPr>
          <w:rFonts w:ascii="Calibri" w:cs="Calibri" w:eastAsia="Calibri" w:hAnsi="Calibri"/>
          <w:sz w:val="22"/>
          <w:szCs w:val="22"/>
        </w:rPr>
        <w:t xml:space="preserve">Streitwert: 37.200 EUR</w:t>
      </w:r>
    </w:p>
    <w:p>
      <w:pPr>
        <w:spacing w:after="50" w:before="50"/>
      </w:pPr>
    </w:p>
    <w:p>
      <w:pPr>
        <w:pStyle w:val="Heading2"/>
        <w:spacing w:after="150" w:before="300"/>
      </w:pPr>
      <w:r>
        <w:t xml:space="preserve">A. ANTRÄGE</w:t>
      </w:r>
    </w:p>
    <w:p>
      <w:pPr>
        <w:spacing w:after="100" w:before="100"/>
        <w:jc w:val="both"/>
      </w:pPr>
      <w:r>
        <w:rPr>
          <w:rFonts w:ascii="Calibri" w:cs="Calibri" w:eastAsia="Calibri" w:hAnsi="Calibri"/>
          <w:sz w:val="22"/>
          <w:szCs w:val="22"/>
        </w:rPr>
        <w:t xml:space="preserve">Die Klägerin beantragt:</w:t>
      </w:r>
    </w:p>
    <w:p>
      <w:pPr>
        <w:spacing w:after="100" w:before="100"/>
        <w:jc w:val="both"/>
      </w:pPr>
      <w:r>
        <w:rPr>
          <w:rFonts w:ascii="Calibri" w:cs="Calibri" w:eastAsia="Calibri" w:hAnsi="Calibri"/>
          <w:sz w:val="22"/>
          <w:szCs w:val="22"/>
        </w:rPr>
        <w:t xml:space="preserve">1. Es wird festgestellt, dass das Arbeitsverhältnis der Parteien durch die außerordentliche Kündigung des Beklagten vom 12. März 2026, zugegangen am selben Tag, nicht aufgelöst worden ist.</w:t>
      </w:r>
    </w:p>
    <w:p>
      <w:pPr>
        <w:spacing w:after="100" w:before="100"/>
        <w:jc w:val="both"/>
      </w:pPr>
      <w:r>
        <w:rPr>
          <w:rFonts w:ascii="Calibri" w:cs="Calibri" w:eastAsia="Calibri" w:hAnsi="Calibri"/>
          <w:sz w:val="22"/>
          <w:szCs w:val="22"/>
        </w:rPr>
        <w:t xml:space="preserve">2. Der Beklagte wird verurteilt, die Klägerin bis zur rechtskräftigen Beendigung des Rechtsstreits als Handball-Bundesliga-Spielerin (Linksaußen) zu den Bedingungen des Arbeitsvertrages vom 1. Juli 2024 weiterzubeschäftigen, soweit die vorläufige Suspendierung der NADA Deutschland e.V. nicht entgegensteht.</w:t>
      </w:r>
    </w:p>
    <w:p>
      <w:pPr>
        <w:spacing w:after="100" w:before="100"/>
        <w:jc w:val="both"/>
      </w:pPr>
      <w:r>
        <w:rPr>
          <w:rFonts w:ascii="Calibri" w:cs="Calibri" w:eastAsia="Calibri" w:hAnsi="Calibri"/>
          <w:sz w:val="22"/>
          <w:szCs w:val="22"/>
        </w:rPr>
        <w:t xml:space="preserve">3. Der Beklagte wird verurteilt, an die Klägerin seit dem 13. März 2026 auflaufenden Annahmeverzugslohn in Höhe von jeweils 6.200 EUR brutto monatlich nebst Zinsen in Höhe von fünf Prozentpunkten über dem Basiszinssatz seit jeweiliger Fälligkeit zu zahlen.</w:t>
      </w:r>
    </w:p>
    <w:p>
      <w:pPr>
        <w:spacing w:after="100" w:before="100"/>
        <w:jc w:val="both"/>
      </w:pPr>
      <w:r>
        <w:rPr>
          <w:rFonts w:ascii="Calibri" w:cs="Calibri" w:eastAsia="Calibri" w:hAnsi="Calibri"/>
          <w:sz w:val="22"/>
          <w:szCs w:val="22"/>
        </w:rPr>
        <w:t xml:space="preserve">4. Die Kosten des Rechtsstreits trägt der Beklagte.</w:t>
      </w:r>
    </w:p>
    <w:p>
      <w:pPr>
        <w:pStyle w:val="Heading2"/>
        <w:spacing w:after="150" w:before="300"/>
      </w:pPr>
      <w:r>
        <w:t xml:space="preserve">B. SACHVERHALT</w:t>
      </w:r>
    </w:p>
    <w:p>
      <w:pPr>
        <w:spacing w:after="100" w:before="100"/>
        <w:jc w:val="both"/>
      </w:pPr>
      <w:r>
        <w:rPr>
          <w:rFonts w:ascii="Calibri" w:cs="Calibri" w:eastAsia="Calibri" w:hAnsi="Calibri"/>
          <w:sz w:val="22"/>
          <w:szCs w:val="22"/>
        </w:rPr>
        <w:t xml:space="preserve">Die Klägerin ist seit dem 1. Juli 2019 beim Beklagten als Handball-Bundesliga-Spielerin beschäftigt. Grundlage ist der Arbeitsvertrag vom 1. Juli 2024, gültig bis zum 30. Juni 2028, mit einem Bruttoverdienst von 6.200 EUR monatlich zuzüglich Prämien.</w:t>
      </w:r>
    </w:p>
    <w:p>
      <w:pPr>
        <w:spacing w:after="100" w:before="100"/>
        <w:jc w:val="both"/>
      </w:pPr>
      <w:r>
        <w:rPr>
          <w:rFonts w:ascii="Calibri" w:cs="Calibri" w:eastAsia="Calibri" w:hAnsi="Calibri"/>
          <w:sz w:val="22"/>
          <w:szCs w:val="22"/>
        </w:rPr>
        <w:t xml:space="preserve">Am 18. Februar 2026 wurde die Klägerin im Rahmen einer unangekündigten NADA-Trainingskontrolle positiv auf Meldonium (0,54 µg/mL) getestet — knapp über dem WADA-Schwellenwert von 0,50 µg/mL. Am 4. März 2026 bestätigte die B-Probe den Befund. Die Klägerin hat zu keinem Zeitpunkt Meldonium willentlich eingenommen. Die Substanz gelangte durch das kontaminierte Nahrungsergänzungsmittel RecoveryMax Pro (Charge 22-4188, PowerNutrition GmbH Memmingen) in ihren Körper, wie durch unabhängige Laboranalyse (LGC Standards Hamburg, 1. April 2026) belegt.</w:t>
      </w:r>
    </w:p>
    <w:p>
      <w:pPr>
        <w:spacing w:after="100" w:before="100"/>
        <w:jc w:val="both"/>
      </w:pPr>
      <w:r>
        <w:rPr>
          <w:rFonts w:ascii="Calibri" w:cs="Calibri" w:eastAsia="Calibri" w:hAnsi="Calibri"/>
          <w:sz w:val="22"/>
          <w:szCs w:val="22"/>
        </w:rPr>
        <w:t xml:space="preserve">Am 12. März 2026 sprach der Beklagte die fristlose Kündigung des Arbeitsverhältnisses nach § 626 BGB aus. Ein rechtskräftiger Schiedsspruch der zuständigen Disziplinarinstanz lag und liegt bis heute nicht vor. Das Schiedsverfahren beim Deutschen Sportschiedsgericht (DSGSp 12/26) war zum Zeitpunkt der Kündigung noch gar nicht eröffnet.</w:t>
      </w:r>
    </w:p>
    <w:p>
      <w:pPr>
        <w:pStyle w:val="Heading2"/>
        <w:spacing w:after="150" w:before="300"/>
      </w:pPr>
      <w:r>
        <w:t xml:space="preserve">C. RECHTLICHE WÜRDIGUNG</w:t>
      </w:r>
    </w:p>
    <w:p>
      <w:pPr>
        <w:spacing w:after="60" w:before="120"/>
      </w:pPr>
      <w:r>
        <w:rPr>
          <w:rFonts w:ascii="Calibri" w:cs="Calibri" w:eastAsia="Calibri" w:hAnsi="Calibri"/>
          <w:b/>
          <w:bCs/>
          <w:sz w:val="22"/>
          <w:szCs w:val="22"/>
        </w:rPr>
        <w:t xml:space="preserve">I. Unwirksamkeit der Kündigung nach § 626 BGB</w:t>
      </w:r>
    </w:p>
    <w:p>
      <w:pPr>
        <w:spacing w:after="100" w:before="100"/>
        <w:jc w:val="both"/>
      </w:pPr>
      <w:r>
        <w:rPr>
          <w:rFonts w:ascii="Calibri" w:cs="Calibri" w:eastAsia="Calibri" w:hAnsi="Calibri"/>
          <w:sz w:val="22"/>
          <w:szCs w:val="22"/>
        </w:rPr>
        <w:t xml:space="preserve">Zum Zeitpunkt der Kündigung lagen keine hinreichenden Tatsachen für einen wichtigen Grund i.S.d. § 626 Abs. 1 BGB vor. Der positive Dopingbefund begründet keinen wichtigen Grund, solange kein rechtskräftiger Anti-Doping-Regelverstoß (ADRV) durch die zuständige Instanz festgestellt ist. Die Klägerin hat den Vorwurf substantiiert bestritten und die Kontaminationsquelle plausibel dargelegt.</w:t>
      </w:r>
    </w:p>
    <w:p>
      <w:pPr>
        <w:spacing w:after="100" w:before="100"/>
        <w:jc w:val="both"/>
      </w:pPr>
      <w:r>
        <w:rPr>
          <w:rFonts w:ascii="Calibri" w:cs="Calibri" w:eastAsia="Calibri" w:hAnsi="Calibri"/>
          <w:sz w:val="22"/>
          <w:szCs w:val="22"/>
        </w:rPr>
        <w:t xml:space="preserve">Das Bundesarbeitsgericht hat in ständiger Rechtsprechung entschieden, dass bloßer Verdacht — ohne rechtskräftige Entscheidung — eine fristlose Kündigung nur unter engen Voraussetzungen rechtfertigt (vgl. BAG, Urt. 6. August 1987, Az. 2 AZR 226/87; Urt. 12. November 1998, Az. 2 AZR 614/97). Diese Voraussetzungen sind hier nicht erfüllt.</w:t>
      </w:r>
    </w:p>
    <w:p>
      <w:pPr>
        <w:spacing w:after="60" w:before="120"/>
      </w:pPr>
      <w:r>
        <w:rPr>
          <w:rFonts w:ascii="Calibri" w:cs="Calibri" w:eastAsia="Calibri" w:hAnsi="Calibri"/>
          <w:b/>
          <w:bCs/>
          <w:sz w:val="22"/>
          <w:szCs w:val="22"/>
        </w:rPr>
        <w:t xml:space="preserve">II. Fehlerhafte Interessenabwägung</w:t>
      </w:r>
    </w:p>
    <w:p>
      <w:pPr>
        <w:spacing w:after="100" w:before="100"/>
        <w:jc w:val="both"/>
      </w:pPr>
      <w:r>
        <w:rPr>
          <w:rFonts w:ascii="Calibri" w:cs="Calibri" w:eastAsia="Calibri" w:hAnsi="Calibri"/>
          <w:sz w:val="22"/>
          <w:szCs w:val="22"/>
        </w:rPr>
        <w:t xml:space="preserve">Die gebotene Interessenabwägung fällt zu Lasten des Beklagten aus. Auf Seiten der Klägerin stehen eine 7-jährige makellose Vereinszugehörigkeit, das Fehlen jeglicher Dopingvorgeschichte, die minimale Überschreitung des Schwellenwerts sowie die nachgewiesene Kontaminationsquelle. Dem stehen das Reputationsinteresse des Beklagten und die sportliche Nicht-Verfügbarkeit gegenüber — letztere folgt allein aus der NADA-Suspendierung, für die der Beklagte keine Kündigung benötigt. Die Interessen des Beklagten überwiegen nicht.</w:t>
      </w:r>
    </w:p>
    <w:p>
      <w:pPr>
        <w:spacing w:after="60" w:before="120"/>
      </w:pPr>
      <w:r>
        <w:rPr>
          <w:rFonts w:ascii="Calibri" w:cs="Calibri" w:eastAsia="Calibri" w:hAnsi="Calibri"/>
          <w:b/>
          <w:bCs/>
          <w:sz w:val="22"/>
          <w:szCs w:val="22"/>
        </w:rPr>
        <w:t xml:space="preserve">III. Annahmeverzug § 615 BGB</w:t>
      </w:r>
    </w:p>
    <w:p>
      <w:pPr>
        <w:spacing w:after="100" w:before="100"/>
        <w:jc w:val="both"/>
      </w:pPr>
      <w:r>
        <w:rPr>
          <w:rFonts w:ascii="Calibri" w:cs="Calibri" w:eastAsia="Calibri" w:hAnsi="Calibri"/>
          <w:sz w:val="22"/>
          <w:szCs w:val="22"/>
        </w:rPr>
        <w:t xml:space="preserve">Der Beklagte befindet sich seit dem 13. März 2026 in Annahmeverzug nach §§ 293 ff. BGB und schuldet ab diesem Zeitpunkt den Vertragslohn nach § 615 BGB, ohne dass die Klägerin zur Leistungserbringung verpflichtet wäre. Die Klägerin muss sich weder Sozialleistungen anrechnen lassen noch ist ihr ein böswilliges Unterlassen anderweitigen Erwerbs vorzuwerfen.</w:t>
      </w:r>
    </w:p>
    <w:p>
      <w:pPr>
        <w:pStyle w:val="Heading2"/>
        <w:spacing w:after="150" w:before="300"/>
      </w:pPr>
      <w:r>
        <w:t xml:space="preserve">D. BEWEISANGEBOTE</w:t>
      </w:r>
    </w:p>
    <w:p>
      <w:pPr>
        <w:spacing w:after="100" w:before="100"/>
        <w:jc w:val="both"/>
      </w:pPr>
      <w:r>
        <w:rPr>
          <w:rFonts w:ascii="Calibri" w:cs="Calibri" w:eastAsia="Calibri" w:hAnsi="Calibri"/>
          <w:sz w:val="22"/>
          <w:szCs w:val="22"/>
        </w:rPr>
        <w:t xml:space="preserve">Anlage K1: Arbeitsvertrag vom 1. Juli 2024</w:t>
      </w:r>
    </w:p>
    <w:p>
      <w:pPr>
        <w:spacing w:after="100" w:before="100"/>
        <w:jc w:val="both"/>
      </w:pPr>
      <w:r>
        <w:rPr>
          <w:rFonts w:ascii="Calibri" w:cs="Calibri" w:eastAsia="Calibri" w:hAnsi="Calibri"/>
          <w:sz w:val="22"/>
          <w:szCs w:val="22"/>
        </w:rPr>
        <w:t xml:space="preserve">Anlage K2: Kündigungsschreiben BSV vom 12. März 2026</w:t>
      </w:r>
    </w:p>
    <w:p>
      <w:pPr>
        <w:spacing w:after="100" w:before="100"/>
        <w:jc w:val="both"/>
      </w:pPr>
      <w:r>
        <w:rPr>
          <w:rFonts w:ascii="Calibri" w:cs="Calibri" w:eastAsia="Calibri" w:hAnsi="Calibri"/>
          <w:sz w:val="22"/>
          <w:szCs w:val="22"/>
        </w:rPr>
        <w:t xml:space="preserve">Anlage K3: NADA-Vorabinformation vom 27. Februar 2026</w:t>
      </w:r>
    </w:p>
    <w:p>
      <w:pPr>
        <w:spacing w:after="100" w:before="100"/>
        <w:jc w:val="both"/>
      </w:pPr>
      <w:r>
        <w:rPr>
          <w:rFonts w:ascii="Calibri" w:cs="Calibri" w:eastAsia="Calibri" w:hAnsi="Calibri"/>
          <w:sz w:val="22"/>
          <w:szCs w:val="22"/>
        </w:rPr>
        <w:t xml:space="preserve">Anlage K4: LGC-Analysebericht vom 1. April 2026 (Kontamination 0,84 mg/Kapsel)</w:t>
      </w:r>
    </w:p>
    <w:p>
      <w:pPr>
        <w:spacing w:after="100" w:before="100"/>
        <w:jc w:val="both"/>
      </w:pPr>
      <w:r>
        <w:rPr>
          <w:rFonts w:ascii="Calibri" w:cs="Calibri" w:eastAsia="Calibri" w:hAnsi="Calibri"/>
          <w:sz w:val="22"/>
          <w:szCs w:val="22"/>
        </w:rPr>
        <w:t xml:space="preserve">Anlage K5: Gutachten Prof. Dr. Kempa vom 20. April 2026</w:t>
      </w:r>
    </w:p>
    <w:p>
      <w:pPr>
        <w:spacing w:after="100" w:before="100"/>
        <w:jc w:val="both"/>
      </w:pPr>
      <w:r>
        <w:rPr>
          <w:rFonts w:ascii="Calibri" w:cs="Calibri" w:eastAsia="Calibri" w:hAnsi="Calibri"/>
          <w:sz w:val="22"/>
          <w:szCs w:val="22"/>
        </w:rPr>
        <w:t xml:space="preserve">Anlage K6: Eidesstattliche Erklärung Barbara Ehrfeld vom 10. Mai 2026</w:t>
      </w:r>
    </w:p>
    <w:p>
      <w:pPr>
        <w:spacing w:after="50" w:before="50"/>
      </w:pPr>
    </w:p>
    <w:p>
      <w:r>
        <w:rPr>
          <w:rFonts w:ascii="Calibri" w:cs="Calibri" w:eastAsia="Calibri" w:hAnsi="Calibri"/>
          <w:b/>
          <w:bCs/>
          <w:sz w:val="22"/>
          <w:szCs w:val="22"/>
        </w:rPr>
        <w:t xml:space="preserve">Prof. Dr. Markus Lentze</w:t>
      </w:r>
    </w:p>
    <w:p>
      <w:r>
        <w:rPr>
          <w:rFonts w:ascii="Calibri" w:cs="Calibri" w:eastAsia="Calibri" w:hAnsi="Calibri"/>
          <w:sz w:val="22"/>
          <w:szCs w:val="22"/>
        </w:rPr>
        <w:t xml:space="preserve">Rechtsanwalt — Fachanwalt für Sportrecht und Arbeitsrecht</w:t>
      </w:r>
    </w:p>
    <w:p>
      <w:r>
        <w:rPr>
          <w:rFonts w:ascii="Calibri" w:cs="Calibri" w:eastAsia="Calibri" w:hAnsi="Calibri"/>
          <w:sz w:val="22"/>
          <w:szCs w:val="22"/>
        </w:rPr>
        <w:t xml:space="preserve">Lentze, Stopper &amp; Partner, Stuttgart</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Kündigungsschutzklage ArbG Chemnitz 4 Ca 88/26</dc:title>
  <dc:creator>Lentze, Stopper &amp; Partner</dc:creator>
  <dc:description>Klageschrift Kündigungsschutz nach KSchG, § 626 BGB, ArbG Chemnitz</dc:description>
  <cp:lastModifiedBy>Un-named</cp:lastModifiedBy>
  <cp:revision>1</cp:revision>
  <dcterms:created xsi:type="dcterms:W3CDTF">2026-05-30T16:48:17.565Z</dcterms:created>
  <dcterms:modified xsi:type="dcterms:W3CDTF">2026-05-30T16:48:17.565Z</dcterms:modified>
</cp:coreProperties>
</file>

<file path=docProps/custom.xml><?xml version="1.0" encoding="utf-8"?>
<Properties xmlns="http://schemas.openxmlformats.org/officeDocument/2006/custom-properties" xmlns:vt="http://schemas.openxmlformats.org/officeDocument/2006/docPropsVTypes"/>
</file>