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right"/>
      </w:pPr>
      <w:r>
        <w:rPr>
          <w:rFonts w:ascii="Calibri" w:cs="Calibri" w:eastAsia="Calibri" w:hAnsi="Calibri"/>
          <w:b/>
          <w:bCs/>
          <w:sz w:val="28"/>
          <w:szCs w:val="28"/>
        </w:rPr>
        <w:t xml:space="preserve">Lentze, Stopper &amp; Partner</w:t>
      </w:r>
    </w:p>
    <w:p>
      <w:pPr>
        <w:jc w:val="right"/>
      </w:pPr>
      <w:r>
        <w:rPr>
          <w:rFonts w:ascii="Calibri" w:cs="Calibri" w:eastAsia="Calibri" w:hAnsi="Calibri"/>
          <w:sz w:val="20"/>
          <w:szCs w:val="20"/>
        </w:rPr>
        <w:t xml:space="preserve">Rechtsanwälte und Fachanwälte</w:t>
      </w:r>
    </w:p>
    <w:p>
      <w:pPr>
        <w:jc w:val="right"/>
      </w:pPr>
      <w:r>
        <w:rPr>
          <w:rFonts w:ascii="Calibri" w:cs="Calibri" w:eastAsia="Calibri" w:hAnsi="Calibri"/>
          <w:sz w:val="20"/>
          <w:szCs w:val="20"/>
        </w:rPr>
        <w:t xml:space="preserve">Kronenstraße 55, 70174 Stuttgart</w:t>
      </w:r>
    </w:p>
    <w:p>
      <w:pPr>
        <w:jc w:val="right"/>
      </w:pPr>
      <w:r>
        <w:rPr>
          <w:rFonts w:ascii="Calibri" w:cs="Calibri" w:eastAsia="Calibri" w:hAnsi="Calibri"/>
          <w:sz w:val="20"/>
          <w:szCs w:val="20"/>
        </w:rPr>
        <w:t xml:space="preserve">Tel.: 0711 / 22 44 66 00</w:t>
      </w:r>
    </w:p>
    <w:p>
      <w:pPr>
        <w:spacing w:after="50" w:before="50"/>
      </w:pPr>
    </w:p>
    <w:p>
      <w:r>
        <w:rPr>
          <w:rFonts w:ascii="Calibri" w:cs="Calibri" w:eastAsia="Calibri" w:hAnsi="Calibri"/>
          <w:sz w:val="22"/>
          <w:szCs w:val="22"/>
        </w:rPr>
        <w:t xml:space="preserve">Deutsches Sportschiedsgericht (DIS)</w:t>
      </w:r>
    </w:p>
    <w:p>
      <w:r>
        <w:rPr>
          <w:rFonts w:ascii="Calibri" w:cs="Calibri" w:eastAsia="Calibri" w:hAnsi="Calibri"/>
          <w:sz w:val="22"/>
          <w:szCs w:val="22"/>
        </w:rPr>
        <w:t xml:space="preserve">c/o Deutsche Institution für Schiedsgerichtsbarkeit e.V.</w:t>
      </w:r>
    </w:p>
    <w:p>
      <w:r>
        <w:rPr>
          <w:rFonts w:ascii="Calibri" w:cs="Calibri" w:eastAsia="Calibri" w:hAnsi="Calibri"/>
          <w:sz w:val="22"/>
          <w:szCs w:val="22"/>
        </w:rPr>
        <w:t xml:space="preserve">Beethovenstraße 5-13</w:t>
      </w:r>
    </w:p>
    <w:p>
      <w:r>
        <w:rPr>
          <w:rFonts w:ascii="Calibri" w:cs="Calibri" w:eastAsia="Calibri" w:hAnsi="Calibri"/>
          <w:sz w:val="22"/>
          <w:szCs w:val="22"/>
        </w:rPr>
        <w:t xml:space="preserve">60325 Frankfurt am Main</w:t>
      </w:r>
    </w:p>
    <w:p>
      <w:pPr>
        <w:spacing w:after="50" w:before="50"/>
      </w:pPr>
    </w:p>
    <w:p>
      <w:pPr>
        <w:jc w:val="right"/>
      </w:pPr>
      <w:r>
        <w:rPr>
          <w:rFonts w:ascii="Calibri" w:cs="Calibri" w:eastAsia="Calibri" w:hAnsi="Calibri"/>
          <w:sz w:val="22"/>
          <w:szCs w:val="22"/>
        </w:rPr>
        <w:t xml:space="preserve">Stuttgart, 12. Mai 2026</w:t>
      </w:r>
    </w:p>
    <w:p>
      <w:pPr>
        <w:spacing w:after="50" w:before="50"/>
      </w:pPr>
    </w:p>
    <w:p>
      <w:pPr>
        <w:jc w:val="center"/>
      </w:pPr>
      <w:r>
        <w:rPr>
          <w:rFonts w:ascii="Calibri" w:cs="Calibri" w:eastAsia="Calibri" w:hAnsi="Calibri"/>
          <w:b/>
          <w:bCs/>
          <w:sz w:val="26"/>
          <w:szCs w:val="26"/>
        </w:rPr>
        <w:t xml:space="preserve">Schiedsverfahren DSGSp 12/26</w:t>
      </w:r>
    </w:p>
    <w:p>
      <w:pPr>
        <w:jc w:val="center"/>
      </w:pPr>
      <w:r>
        <w:rPr>
          <w:rFonts w:ascii="Calibri" w:cs="Calibri" w:eastAsia="Calibri" w:hAnsi="Calibri"/>
          <w:sz w:val="22"/>
          <w:szCs w:val="22"/>
        </w:rPr>
        <w:t xml:space="preserve">NADA Deutschland e.V. (Antragstellerin)</w:t>
      </w:r>
    </w:p>
    <w:p>
      <w:pPr>
        <w:jc w:val="center"/>
      </w:pPr>
      <w:r>
        <w:rPr>
          <w:rFonts w:ascii="Calibri" w:cs="Calibri" w:eastAsia="Calibri" w:hAnsi="Calibri"/>
          <w:i/>
          <w:iCs/>
          <w:sz w:val="22"/>
          <w:szCs w:val="22"/>
        </w:rPr>
        <w:t xml:space="preserve">gegen</w:t>
      </w:r>
    </w:p>
    <w:p>
      <w:pPr>
        <w:jc w:val="center"/>
      </w:pPr>
      <w:r>
        <w:rPr>
          <w:rFonts w:ascii="Calibri" w:cs="Calibri" w:eastAsia="Calibri" w:hAnsi="Calibri"/>
          <w:sz w:val="22"/>
          <w:szCs w:val="22"/>
        </w:rPr>
        <w:t xml:space="preserve">Selin Uvalkanat (Antragsgegnerin)</w:t>
      </w:r>
    </w:p>
    <w:p>
      <w:pPr>
        <w:spacing w:after="50" w:before="50"/>
      </w:pPr>
    </w:p>
    <w:p>
      <w:pPr>
        <w:jc w:val="center"/>
      </w:pPr>
      <w:r>
        <w:rPr>
          <w:rFonts w:ascii="Calibri" w:cs="Calibri" w:eastAsia="Calibri" w:hAnsi="Calibri"/>
          <w:b/>
          <w:bCs/>
          <w:sz w:val="24"/>
          <w:szCs w:val="24"/>
        </w:rPr>
        <w:t xml:space="preserve">KLAGEERWIDERUNG UND BEWEISANGEBOTE</w:t>
      </w:r>
    </w:p>
    <w:p>
      <w:pPr>
        <w:spacing w:after="50" w:before="50"/>
      </w:pPr>
    </w:p>
    <w:p>
      <w:pPr>
        <w:pStyle w:val="Heading2"/>
        <w:spacing w:after="150" w:before="300"/>
      </w:pPr>
      <w:r>
        <w:t xml:space="preserve">I. Vorbemerkung</w:t>
      </w:r>
    </w:p>
    <w:p>
      <w:pPr>
        <w:spacing w:after="100" w:before="100"/>
        <w:jc w:val="both"/>
      </w:pPr>
      <w:r>
        <w:rPr>
          <w:rFonts w:ascii="Calibri" w:cs="Calibri" w:eastAsia="Calibri" w:hAnsi="Calibri"/>
          <w:sz w:val="22"/>
          <w:szCs w:val="22"/>
        </w:rPr>
        <w:t xml:space="preserve">Die Antragsgegnerin Selin Uvalkanat (nachfolgend: Mandantin) weist die von der NADA geforderte 4-jährige Sperre entschieden zurück. Sie bestreitet jede Absicht, eine verbotene Substanz eingenommen zu haben. Wie nachfolgend ausgeführt und durch Beweismittel belegt wird, ist der positive Meldonium-Befund ausschließlich auf eine nicht deklarierte Kontamination des Nahrungsergänzungsmittels RecoveryMax Pro (PowerNutrition GmbH, Memmingen, Charge 22-4188) zurückzuführen.</w:t>
      </w:r>
    </w:p>
    <w:p>
      <w:pPr>
        <w:spacing w:after="100" w:before="100"/>
        <w:jc w:val="both"/>
      </w:pPr>
      <w:r>
        <w:rPr>
          <w:rFonts w:ascii="Calibri" w:cs="Calibri" w:eastAsia="Calibri" w:hAnsi="Calibri"/>
          <w:sz w:val="22"/>
          <w:szCs w:val="22"/>
        </w:rPr>
        <w:t xml:space="preserve">Die Antragsgegnerin beantragt, vollständig von jeder Sanktion freigestellt zu werden (Art. 10.5.2 NADC 2021), hilfsweise eine Reduzierung der Sperre auf nicht mehr als 8 Monate (Art. 10.5.1 NADC 2021).</w:t>
      </w:r>
    </w:p>
    <w:p>
      <w:pPr>
        <w:pStyle w:val="Heading2"/>
        <w:spacing w:after="150" w:before="300"/>
      </w:pPr>
      <w:r>
        <w:t xml:space="preserve">II. Anträge</w:t>
      </w:r>
    </w:p>
    <w:p>
      <w:pPr>
        <w:spacing w:after="100" w:before="100"/>
        <w:jc w:val="both"/>
      </w:pPr>
      <w:r>
        <w:rPr>
          <w:rFonts w:ascii="Calibri" w:cs="Calibri" w:eastAsia="Calibri" w:hAnsi="Calibri"/>
          <w:sz w:val="22"/>
          <w:szCs w:val="22"/>
        </w:rPr>
        <w:t xml:space="preserve">Die Antragsgegnerin beantragt:</w:t>
      </w:r>
    </w:p>
    <w:p>
      <w:pPr>
        <w:spacing w:after="100" w:before="100"/>
        <w:jc w:val="both"/>
      </w:pPr>
      <w:r>
        <w:rPr>
          <w:rFonts w:ascii="Calibri" w:cs="Calibri" w:eastAsia="Calibri" w:hAnsi="Calibri"/>
          <w:sz w:val="22"/>
          <w:szCs w:val="22"/>
        </w:rPr>
        <w:t xml:space="preserve">1. Den Antrag der NADA auf Verhängung einer 4-jährigen Sperre zurückzuweisen.</w:t>
      </w:r>
    </w:p>
    <w:p>
      <w:pPr>
        <w:spacing w:after="100" w:before="100"/>
        <w:jc w:val="both"/>
      </w:pPr>
      <w:r>
        <w:rPr>
          <w:rFonts w:ascii="Calibri" w:cs="Calibri" w:eastAsia="Calibri" w:hAnsi="Calibri"/>
          <w:sz w:val="22"/>
          <w:szCs w:val="22"/>
        </w:rPr>
        <w:t xml:space="preserve">2. Festzustellen, dass die Antragsgegnerin kein Verschulden an dem positiven Befund trägt (Art. 10.5.2 NADC 2021) und die Sperre vollständig aufzuheben.</w:t>
      </w:r>
    </w:p>
    <w:p>
      <w:pPr>
        <w:spacing w:after="100" w:before="100"/>
        <w:jc w:val="both"/>
      </w:pPr>
      <w:r>
        <w:rPr>
          <w:rFonts w:ascii="Calibri" w:cs="Calibri" w:eastAsia="Calibri" w:hAnsi="Calibri"/>
          <w:sz w:val="22"/>
          <w:szCs w:val="22"/>
        </w:rPr>
        <w:t xml:space="preserve">3. Hilfsweise: Die Sperre auf nicht mehr als 8 Monate zu reduzieren (Art. 10.5.1 NADC 2021), beginnend ab dem 28.02.2026 (Beginn vorläufige Suspendierung), sodass die Sperre bei Erlass des Schiedsspruchs de facto verbüßt ist.</w:t>
      </w:r>
    </w:p>
    <w:p>
      <w:pPr>
        <w:spacing w:after="100" w:before="100"/>
        <w:jc w:val="both"/>
      </w:pPr>
      <w:r>
        <w:rPr>
          <w:rFonts w:ascii="Calibri" w:cs="Calibri" w:eastAsia="Calibri" w:hAnsi="Calibri"/>
          <w:sz w:val="22"/>
          <w:szCs w:val="22"/>
        </w:rPr>
        <w:t xml:space="preserve">4. Die vorläufige Suspendierung für die Dauer des CAS-Verfahrens aufzuheben.</w:t>
      </w:r>
    </w:p>
    <w:p>
      <w:pPr>
        <w:spacing w:after="100" w:before="100"/>
        <w:jc w:val="both"/>
      </w:pPr>
      <w:r>
        <w:rPr>
          <w:rFonts w:ascii="Calibri" w:cs="Calibri" w:eastAsia="Calibri" w:hAnsi="Calibri"/>
          <w:sz w:val="22"/>
          <w:szCs w:val="22"/>
        </w:rPr>
        <w:t xml:space="preserve">5. Die Kosten des Verfahrens der Antragstellerin aufzuerlegen.</w:t>
      </w:r>
    </w:p>
    <w:p>
      <w:pPr>
        <w:pStyle w:val="Heading2"/>
        <w:spacing w:after="150" w:before="300"/>
      </w:pPr>
      <w:r>
        <w:t xml:space="preserve">III. Sachverhalt</w:t>
      </w:r>
    </w:p>
    <w:p>
      <w:pPr>
        <w:spacing w:after="60" w:before="120"/>
      </w:pPr>
      <w:r>
        <w:rPr>
          <w:rFonts w:ascii="Calibri" w:cs="Calibri" w:eastAsia="Calibri" w:hAnsi="Calibri"/>
          <w:b/>
          <w:bCs/>
          <w:sz w:val="22"/>
          <w:szCs w:val="22"/>
        </w:rPr>
        <w:t xml:space="preserve">A. Die Trainingskontrolle und der Befund</w:t>
      </w:r>
    </w:p>
    <w:p>
      <w:pPr>
        <w:spacing w:after="100" w:before="100"/>
        <w:jc w:val="both"/>
      </w:pPr>
      <w:r>
        <w:rPr>
          <w:rFonts w:ascii="Calibri" w:cs="Calibri" w:eastAsia="Calibri" w:hAnsi="Calibri"/>
          <w:sz w:val="22"/>
          <w:szCs w:val="22"/>
        </w:rPr>
        <w:t xml:space="preserve">Am 18. Februar 2026 wurde die Antragsgegnerin einer unangekündigten NADA-Trainingskontrolle in Zwickau unterzogen. Die A-Probe ergab einen Meldonium-Befund von 0,54 µg/mL — knapp 8 % über dem Schwellenwert von 0,50 µg/mL (WADA TD2022DL). Die B-Probe bestätigte diesen Befund mit 0,52 µg/mL.</w:t>
      </w:r>
    </w:p>
    <w:p>
      <w:pPr>
        <w:spacing w:after="100" w:before="100"/>
        <w:jc w:val="both"/>
      </w:pPr>
      <w:r>
        <w:rPr>
          <w:rFonts w:ascii="Calibri" w:cs="Calibri" w:eastAsia="Calibri" w:hAnsi="Calibri"/>
          <w:sz w:val="22"/>
          <w:szCs w:val="22"/>
        </w:rPr>
        <w:t xml:space="preserve">Die Antragsgegnerin hatte zu keinem Zeitpunkt Meldonium willentlich eingenommen. Sie hatte sechs vorangegangene NADA-Kontrollen sämtlich negativ absolviert. Keine TUE war beantragt. Kein Vorstrafenregister im Anti-Doping-Bereich.</w:t>
      </w:r>
    </w:p>
    <w:p>
      <w:pPr>
        <w:spacing w:after="60" w:before="120"/>
      </w:pPr>
      <w:r>
        <w:rPr>
          <w:rFonts w:ascii="Calibri" w:cs="Calibri" w:eastAsia="Calibri" w:hAnsi="Calibri"/>
          <w:b/>
          <w:bCs/>
          <w:sz w:val="22"/>
          <w:szCs w:val="22"/>
        </w:rPr>
        <w:t xml:space="preserve">B. Die Kontaminationsquelle</w:t>
      </w:r>
    </w:p>
    <w:p>
      <w:pPr>
        <w:spacing w:after="100" w:before="100"/>
        <w:jc w:val="both"/>
      </w:pPr>
      <w:r>
        <w:rPr>
          <w:rFonts w:ascii="Calibri" w:cs="Calibri" w:eastAsia="Calibri" w:hAnsi="Calibri"/>
          <w:sz w:val="22"/>
          <w:szCs w:val="22"/>
        </w:rPr>
        <w:t xml:space="preserve">Die Antragsgegnerin verwendete seit dem 15. Dezember 2024 das Produkt RecoveryMax Pro (Charge 22-4188) der PowerNutrition GmbH, Memmingen. Dieses Produkt wurde ihr von ihrer Vereinstrainerin Barbara Ehrfeld empfohlen. Es war als sportgerechtes Nahrungsergänzungsmittel beworben und enthielt nach Etikett keine verbotenen Substanzen.</w:t>
      </w:r>
    </w:p>
    <w:p>
      <w:pPr>
        <w:spacing w:after="100" w:before="100"/>
        <w:jc w:val="both"/>
      </w:pPr>
      <w:r>
        <w:rPr>
          <w:rFonts w:ascii="Calibri" w:cs="Calibri" w:eastAsia="Calibri" w:hAnsi="Calibri"/>
          <w:sz w:val="22"/>
          <w:szCs w:val="22"/>
        </w:rPr>
        <w:t xml:space="preserve">Die Analyse durch LGC Standards GmbH Hamburg (Bericht Nr. LGC-2026-0310-4188 vom 1. April 2026) erbrachte: RecoveryMax Pro, Charge 22-4188, enthält 0,84 mg Meldonium pro Kapsel — eine nicht deklarierte Kontamination. Das Parteigutachten von Prof. Dr. Stefan Kempa (Toxikologie, Universität Mainz, 20. April 2026) belegt, dass diese Kontaminationskonzentration bei täglicher Einnahme von 2 Kapseln über 60 Tage die gemessene Urinkonzentration vollständig erklärt.</w:t>
      </w:r>
    </w:p>
    <w:p>
      <w:pPr>
        <w:pStyle w:val="Heading2"/>
        <w:spacing w:after="150" w:before="300"/>
      </w:pPr>
      <w:r>
        <w:t xml:space="preserve">IV. Rechtliche Würdigung</w:t>
      </w:r>
    </w:p>
    <w:p>
      <w:pPr>
        <w:spacing w:after="60" w:before="120"/>
      </w:pPr>
      <w:r>
        <w:rPr>
          <w:rFonts w:ascii="Calibri" w:cs="Calibri" w:eastAsia="Calibri" w:hAnsi="Calibri"/>
          <w:b/>
          <w:bCs/>
          <w:sz w:val="22"/>
          <w:szCs w:val="22"/>
        </w:rPr>
        <w:t xml:space="preserve">A. Fehlende Absicht (Art. 10.2.1 NADC)</w:t>
      </w:r>
    </w:p>
    <w:p>
      <w:pPr>
        <w:spacing w:after="100" w:before="100"/>
        <w:jc w:val="both"/>
      </w:pPr>
      <w:r>
        <w:rPr>
          <w:rFonts w:ascii="Calibri" w:cs="Calibri" w:eastAsia="Calibri" w:hAnsi="Calibri"/>
          <w:sz w:val="22"/>
          <w:szCs w:val="22"/>
        </w:rPr>
        <w:t xml:space="preserve">NADA hat keinerlei Anhaltspunkte vorgelegt, aus denen sich eine willentliche Einnahme von Meldonium ergäbe. Der Befund liegt nur knapp über dem Schwellenwert; eine willentliche Einnahme therapeutischer Mengen hätte nach den Berechnungen von Prof. Dr. Kempa zu Werten von 20–100 µg/mL geführt. Art. 10.2.1 NADC ist daher nicht anwendbar.</w:t>
      </w:r>
    </w:p>
    <w:p>
      <w:pPr>
        <w:spacing w:after="60" w:before="120"/>
      </w:pPr>
      <w:r>
        <w:rPr>
          <w:rFonts w:ascii="Calibri" w:cs="Calibri" w:eastAsia="Calibri" w:hAnsi="Calibri"/>
          <w:b/>
          <w:bCs/>
          <w:sz w:val="22"/>
          <w:szCs w:val="22"/>
        </w:rPr>
        <w:t xml:space="preserve">B. Kein Verschulden (Art. 10.5.2 NADC)</w:t>
      </w:r>
    </w:p>
    <w:p>
      <w:pPr>
        <w:spacing w:after="100" w:before="100"/>
        <w:jc w:val="both"/>
      </w:pPr>
      <w:r>
        <w:rPr>
          <w:rFonts w:ascii="Calibri" w:cs="Calibri" w:eastAsia="Calibri" w:hAnsi="Calibri"/>
          <w:sz w:val="22"/>
          <w:szCs w:val="22"/>
        </w:rPr>
        <w:t xml:space="preserve">Die Antragsgegnerin trägt keine Schuld an dem Befund. Sie hatte das Etikett gelesen und keine verbotenen Substanzen gefunden. Das Produkt stammt von einem deutschen, EU-regulierten Hersteller. Die Empfehlung durch die Vereinstrainerin begründete ein berechtigtes Vertrauen. Das Unterlassen des Global-DRO-Checks stellt bei dieser Sachlage kein erhebliches Verschulden dar — zumal DHB und BSV keine systematische Supplement-Schulung anbieten (Zeugnis Ehrfeld, Anlage 3).</w:t>
      </w:r>
    </w:p>
    <w:p>
      <w:pPr>
        <w:spacing w:after="100" w:before="100"/>
        <w:jc w:val="both"/>
      </w:pPr>
      <w:r>
        <w:rPr>
          <w:rFonts w:ascii="Calibri" w:cs="Calibri" w:eastAsia="Calibri" w:hAnsi="Calibri"/>
          <w:sz w:val="22"/>
          <w:szCs w:val="22"/>
        </w:rPr>
        <w:t xml:space="preserve">In vollständig vergleichbaren Fällen hat der CAS Art. 10.5.2 NADC bejaht (CAS 2016/A/4372 — Halep: Sperre 1 Monat; CAS 2024/A/9317 — Pawłowski: 6 Monate bei Meldonium-Kontamination).</w:t>
      </w:r>
    </w:p>
    <w:p>
      <w:pPr>
        <w:spacing w:after="60" w:before="120"/>
      </w:pPr>
      <w:r>
        <w:rPr>
          <w:rFonts w:ascii="Calibri" w:cs="Calibri" w:eastAsia="Calibri" w:hAnsi="Calibri"/>
          <w:b/>
          <w:bCs/>
          <w:sz w:val="22"/>
          <w:szCs w:val="22"/>
        </w:rPr>
        <w:t xml:space="preserve">C. Verhältnismäßigkeit</w:t>
      </w:r>
    </w:p>
    <w:p>
      <w:pPr>
        <w:spacing w:after="100" w:before="100"/>
        <w:jc w:val="both"/>
      </w:pPr>
      <w:r>
        <w:rPr>
          <w:rFonts w:ascii="Calibri" w:cs="Calibri" w:eastAsia="Calibri" w:hAnsi="Calibri"/>
          <w:sz w:val="22"/>
          <w:szCs w:val="22"/>
        </w:rPr>
        <w:t xml:space="preserve">Eine 2-Jahres-Sperre — geschweige denn 4 Jahre — wäre angesichts der nachgewiesenen Kontaminationsquelle und des fehlenden Verschuldens unverhältnismäßig. Sie würde die Karriere der Antragsgegnerin zerstören, obwohl sie nichts Unrechtes getan hat.</w:t>
      </w:r>
    </w:p>
    <w:p>
      <w:pPr>
        <w:pStyle w:val="Heading2"/>
        <w:spacing w:after="150" w:before="300"/>
      </w:pPr>
      <w:r>
        <w:t xml:space="preserve">V. Beweisangebote</w:t>
      </w:r>
    </w:p>
    <w:p>
      <w:pPr>
        <w:spacing w:after="100" w:before="100"/>
        <w:jc w:val="both"/>
      </w:pPr>
      <w:r>
        <w:rPr>
          <w:rFonts w:ascii="Calibri" w:cs="Calibri" w:eastAsia="Calibri" w:hAnsi="Calibri"/>
          <w:sz w:val="22"/>
          <w:szCs w:val="22"/>
        </w:rPr>
        <w:t xml:space="preserve">Anlage 1: LGC-Analysebericht Nr. LGC-2026-0310-4188 vom 01.04.2026</w:t>
      </w:r>
    </w:p>
    <w:p>
      <w:pPr>
        <w:spacing w:after="100" w:before="100"/>
        <w:jc w:val="both"/>
      </w:pPr>
      <w:r>
        <w:rPr>
          <w:rFonts w:ascii="Calibri" w:cs="Calibri" w:eastAsia="Calibri" w:hAnsi="Calibri"/>
          <w:sz w:val="22"/>
          <w:szCs w:val="22"/>
        </w:rPr>
        <w:t xml:space="preserve">Anlage 2: Gutachten Prof. Dr. Stefan Kempa vom 20.04.2026</w:t>
      </w:r>
    </w:p>
    <w:p>
      <w:pPr>
        <w:spacing w:after="100" w:before="100"/>
        <w:jc w:val="both"/>
      </w:pPr>
      <w:r>
        <w:rPr>
          <w:rFonts w:ascii="Calibri" w:cs="Calibri" w:eastAsia="Calibri" w:hAnsi="Calibri"/>
          <w:sz w:val="22"/>
          <w:szCs w:val="22"/>
        </w:rPr>
        <w:t xml:space="preserve">Anlage 3: Eidesstattliche Erklärung Barbara Ehrfeld vom 10.05.2026</w:t>
      </w:r>
    </w:p>
    <w:p>
      <w:pPr>
        <w:spacing w:after="100" w:before="100"/>
        <w:jc w:val="both"/>
      </w:pPr>
      <w:r>
        <w:rPr>
          <w:rFonts w:ascii="Calibri" w:cs="Calibri" w:eastAsia="Calibri" w:hAnsi="Calibri"/>
          <w:sz w:val="22"/>
          <w:szCs w:val="22"/>
        </w:rPr>
        <w:t xml:space="preserve">Anlage 4: Eidesstattliche Erklärung Tamara Schönfeld vom 10.05.2026</w:t>
      </w:r>
    </w:p>
    <w:p>
      <w:pPr>
        <w:spacing w:after="100" w:before="100"/>
        <w:jc w:val="both"/>
      </w:pPr>
      <w:r>
        <w:rPr>
          <w:rFonts w:ascii="Calibri" w:cs="Calibri" w:eastAsia="Calibri" w:hAnsi="Calibri"/>
          <w:sz w:val="22"/>
          <w:szCs w:val="22"/>
        </w:rPr>
        <w:t xml:space="preserve">Anlage 5: Laborprotokoll KADA-2026-0320-4788 (Schönfeld-Urinprobe)</w:t>
      </w:r>
    </w:p>
    <w:p>
      <w:pPr>
        <w:spacing w:after="100" w:before="100"/>
        <w:jc w:val="both"/>
      </w:pPr>
      <w:r>
        <w:rPr>
          <w:rFonts w:ascii="Calibri" w:cs="Calibri" w:eastAsia="Calibri" w:hAnsi="Calibri"/>
          <w:sz w:val="22"/>
          <w:szCs w:val="22"/>
        </w:rPr>
        <w:t xml:space="preserve">Anlage 6: Anamnese Dr. Felix Bauer (Hausarzt, keine Dauermedikation)</w:t>
      </w:r>
    </w:p>
    <w:p>
      <w:pPr>
        <w:spacing w:after="100" w:before="100"/>
        <w:jc w:val="both"/>
      </w:pPr>
      <w:r>
        <w:rPr>
          <w:rFonts w:ascii="Calibri" w:cs="Calibri" w:eastAsia="Calibri" w:hAnsi="Calibri"/>
          <w:sz w:val="22"/>
          <w:szCs w:val="22"/>
        </w:rPr>
        <w:t xml:space="preserve">Anlage 7: NADA-Kontrollprotokolle 2022–2025 (6 negative Befunde)</w:t>
      </w:r>
    </w:p>
    <w:p>
      <w:pPr>
        <w:spacing w:after="100" w:before="100"/>
        <w:jc w:val="both"/>
      </w:pPr>
      <w:r>
        <w:rPr>
          <w:rFonts w:ascii="Calibri" w:cs="Calibri" w:eastAsia="Calibri" w:hAnsi="Calibri"/>
          <w:sz w:val="22"/>
          <w:szCs w:val="22"/>
        </w:rPr>
        <w:t xml:space="preserve">Zum Beweis für die Kontaminationsquelle und das fehlende Verschulden wird beantragt, Herrn Prof. Dr. Stefan Kempa als Sachverständigen zu hören und Frau Barbara Ehrfeld und Frau Tamara Schönfeld als Zeuginnen zu vernehmen.</w:t>
      </w:r>
    </w:p>
    <w:p>
      <w:pPr>
        <w:pStyle w:val="Heading2"/>
        <w:spacing w:after="150" w:before="300"/>
      </w:pPr>
      <w:r>
        <w:t xml:space="preserve">VI. Schluss</w:t>
      </w:r>
    </w:p>
    <w:p>
      <w:pPr>
        <w:spacing w:after="100" w:before="100"/>
        <w:jc w:val="both"/>
      </w:pPr>
      <w:r>
        <w:rPr>
          <w:rFonts w:ascii="Calibri" w:cs="Calibri" w:eastAsia="Calibri" w:hAnsi="Calibri"/>
          <w:sz w:val="22"/>
          <w:szCs w:val="22"/>
        </w:rPr>
        <w:t xml:space="preserve">Die Antragsgegnerin hat keine verbotene Substanz willentlich eingenommen. Sie ist Opfer einer industriellen Kontamination eines deutschen Lebensmittelherstellers. Der Grundsatz der Verhältnismäßigkeit gebietet, ihr keine oder allenfalls eine minimale Sanktion aufzuerlegen. Wir bitten die Spruchkammer, dem Antrag zu entsprechen.</w:t>
      </w:r>
    </w:p>
    <w:p>
      <w:pPr>
        <w:spacing w:after="50" w:before="50"/>
      </w:pPr>
    </w:p>
    <w:p>
      <w:r>
        <w:rPr>
          <w:rFonts w:ascii="Calibri" w:cs="Calibri" w:eastAsia="Calibri" w:hAnsi="Calibri"/>
          <w:sz w:val="22"/>
          <w:szCs w:val="22"/>
        </w:rPr>
        <w:t xml:space="preserve">Stuttgart, 12. Mai 2026</w:t>
      </w:r>
    </w:p>
    <w:p>
      <w:pPr>
        <w:spacing w:after="50" w:before="50"/>
      </w:pPr>
    </w:p>
    <w:p>
      <w:r>
        <w:rPr>
          <w:rFonts w:ascii="Calibri" w:cs="Calibri" w:eastAsia="Calibri" w:hAnsi="Calibri"/>
          <w:b/>
          <w:bCs/>
          <w:sz w:val="22"/>
          <w:szCs w:val="22"/>
        </w:rPr>
        <w:t xml:space="preserve">Prof. Dr. Markus Lentze</w:t>
      </w:r>
    </w:p>
    <w:p>
      <w:r>
        <w:rPr>
          <w:rFonts w:ascii="Calibri" w:cs="Calibri" w:eastAsia="Calibri" w:hAnsi="Calibri"/>
          <w:sz w:val="22"/>
          <w:szCs w:val="22"/>
        </w:rPr>
        <w:t xml:space="preserve">Rechtsanwalt | Fachanwalt für Sportrecht</w:t>
      </w:r>
    </w:p>
    <w:p>
      <w:r>
        <w:rPr>
          <w:rFonts w:ascii="Calibri" w:cs="Calibri" w:eastAsia="Calibri" w:hAnsi="Calibri"/>
          <w:sz w:val="22"/>
          <w:szCs w:val="22"/>
        </w:rPr>
        <w:t xml:space="preserve">Lentze, Stopper &amp; Partner, Stuttgart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Klageerwiderung DSGSp 12/26 — Uvalkanat ./. NADA</dc:title>
  <dc:creator>Lentze, Stopper &amp; Partner</dc:creator>
  <dc:description>Klageerwiderung und Beweisangebote, Deutsches Sportschiedsgericht, Az. DSGSp 12/26</dc:description>
  <cp:lastModifiedBy>Un-named</cp:lastModifiedBy>
  <cp:revision>1</cp:revision>
  <dcterms:created xsi:type="dcterms:W3CDTF">2026-05-30T16:48:17.479Z</dcterms:created>
  <dcterms:modified xsi:type="dcterms:W3CDTF">2026-05-30T16:48:17.479Z</dcterms:modified>
</cp:coreProperties>
</file>

<file path=docProps/custom.xml><?xml version="1.0" encoding="utf-8"?>
<Properties xmlns="http://schemas.openxmlformats.org/officeDocument/2006/custom-properties" xmlns:vt="http://schemas.openxmlformats.org/officeDocument/2006/docPropsVTypes"/>
</file>