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REDLINE: SPA v3 vs. SPA v4 (Final)</w:t>
      </w:r>
    </w:p>
    <w:p>
      <w:r>
        <w:rPr>
          <w:sz w:val="20"/>
        </w:rPr>
        <w:t>Verkaeuferseite: Roosendaal Birkenhainer Partners mbB (Blau)</w:t>
        <w:br/>
      </w:r>
      <w:r>
        <w:t>Kaeuferseite: Schaefer Schoeneberg Stoll mbB (Rot)</w:t>
        <w:br/>
      </w:r>
      <w:r>
        <w:t>Datum SPA v3: 25. September 2026 | Datum SPA v4: 10. Oktober 2026</w:t>
      </w:r>
    </w:p>
    <w:p/>
    <w:p>
      <w:pPr>
        <w:pStyle w:val="Heading1"/>
      </w:pPr>
      <w:r>
        <w:t>Wesentliche Aenderungen v3 → v4</w:t>
      </w:r>
    </w:p>
    <w:p>
      <w:pPr>
        <w:pStyle w:val="Heading2"/>
      </w:pPr>
      <w:r>
        <w:t>Art. 1 — Definitionen</w:t>
      </w:r>
    </w:p>
    <w:p>
      <w:r>
        <w:rPr>
          <w:color w:val="CC0000"/>
        </w:rPr>
        <w:t xml:space="preserve">[GELOESCHT v3]: </w:t>
      </w:r>
      <w:r>
        <w:rPr>
          <w:color w:val="CC0000"/>
        </w:rPr>
        <w:t xml:space="preserve">"Adjusted EBITDA means, for the financial year ending 31 December 2027, EBITDA as determined by Buyer in its sole discretion." </w:t>
      </w:r>
    </w:p>
    <w:p>
      <w:r>
        <w:rPr>
          <w:color w:val="0044AA"/>
        </w:rPr>
        <w:t xml:space="preserve">[NEU v4]: </w:t>
      </w:r>
      <w:r>
        <w:rPr>
          <w:color w:val="0044AA"/>
        </w:rPr>
        <w:t>"Earn-Out EBITDA has the meaning set forth in Article 8.1 of this Agreement, being EBITDA calculated consistently with the Reference Accounts and adjusted pursuant to the Closed List in Schedule 8-A."</w:t>
      </w:r>
    </w:p>
    <w:p>
      <w:pPr>
        <w:pStyle w:val="Heading2"/>
      </w:pPr>
      <w:r>
        <w:t>Art. 6.3 — Basket</w:t>
      </w:r>
    </w:p>
    <w:p>
      <w:r>
        <w:rPr>
          <w:color w:val="CC0000"/>
        </w:rPr>
        <w:t xml:space="preserve">[GELOESCHT v3]: </w:t>
      </w:r>
      <w:r>
        <w:rPr>
          <w:color w:val="CC0000"/>
        </w:rPr>
        <w:t>"The Basket shall be EUR 300,000, constituting a Tipping Basket (first-Euro liability)."</w:t>
      </w:r>
    </w:p>
    <w:p>
      <w:r>
        <w:rPr>
          <w:color w:val="0044AA"/>
        </w:rPr>
        <w:t xml:space="preserve">[NEU v4]: </w:t>
      </w:r>
      <w:r>
        <w:rPr>
          <w:color w:val="0044AA"/>
        </w:rPr>
        <w:t>"The Basket shall be EUR 400,000 (Deductible / Excess-Only). Seller shall only be liable for the excess above the Basket."</w:t>
      </w:r>
    </w:p>
    <w:p>
      <w:pPr>
        <w:pStyle w:val="Heading2"/>
      </w:pPr>
      <w:r>
        <w:t>Art. 7 — MAC-Klausel</w:t>
      </w:r>
    </w:p>
    <w:p>
      <w:r>
        <w:rPr>
          <w:color w:val="0044AA"/>
        </w:rPr>
        <w:t xml:space="preserve">[NEU v4 — Carve-out ergaenzt (RBP-Einfuegung)]: </w:t>
      </w:r>
      <w:r>
        <w:rPr>
          <w:color w:val="0044AA"/>
        </w:rPr>
        <w:t>"...changes in conditions generally affecting the energy sector or the renewable energy industry, including electricity prices, feed-in tariffs or energy regulations, unless disproportionately affecting the Target Company relative to other market participants;"</w:t>
      </w:r>
    </w:p>
    <w:p>
      <w:pPr>
        <w:pStyle w:val="Heading2"/>
      </w:pPr>
      <w:r>
        <w:t>Art. 8.1 — Earn-Out EBITDA-Definition</w:t>
      </w:r>
    </w:p>
    <w:p>
      <w:r>
        <w:rPr>
          <w:b/>
        </w:rPr>
        <w:t xml:space="preserve">[GEAENDERT — Kompromissfassung nach Telefonkonferenz 28.09.2026]: </w:t>
      </w:r>
      <w:r>
        <w:rPr>
          <w:sz w:val="20"/>
        </w:rPr>
        <w:t>"Earn-Out EBITDA means... but shall include the Erbbaurechtsrente payable under the Ground Lease Agreement, as this constitutes a regular operating expense of the Target Company's business." [Erbbaurechtsrente bleibt im EBITDA — Verkaeufer-Sieg]</w:t>
      </w:r>
    </w:p>
    <w:p>
      <w:pPr>
        <w:pStyle w:val="Heading2"/>
      </w:pPr>
      <w:r>
        <w:t>Art. 2.2 — Kaufpreis</w:t>
      </w:r>
    </w:p>
    <w:p>
      <w:r>
        <w:rPr>
          <w:b/>
        </w:rPr>
        <w:t xml:space="preserve">[GEAENDERT — GrESt-Anpassung]: </w:t>
      </w:r>
      <w:r>
        <w:rPr>
          <w:sz w:val="20"/>
        </w:rPr>
        <w:t>Ursprunglich EUR 38,000,000. Nach GrESt-Vereinbarung (22.10.2026): EUR 37,712,150 (Abzug EUR 287,850 GrESt-Ausgleich Kaeufer). Beide Parteien einverstanden per E-Mail 25.10.2026.</w:t>
      </w:r>
    </w:p>
    <w:p>
      <w:pPr>
        <w:pStyle w:val="Heading2"/>
      </w:pPr>
      <w:r>
        <w:t>Offene Punkte (in v4 noch zu klaeren)</w:t>
      </w:r>
    </w:p>
    <w:p>
      <w:pPr>
        <w:pStyle w:val="ListBullet"/>
      </w:pPr>
      <w:r>
        <w:t>Schedule 8-A (Agreed Extraordinary Items) — finaler Anhang noch offen (Frist: 07.10.2026)</w:t>
      </w:r>
    </w:p>
    <w:p>
      <w:pPr>
        <w:pStyle w:val="ListBullet"/>
      </w:pPr>
      <w:r>
        <w:t>Schedule 9 (W&amp;I Insurance Summary) — Police noch nicht finalisiert</w:t>
      </w:r>
    </w:p>
    <w:p>
      <w:pPr>
        <w:pStyle w:val="ListBullet"/>
      </w:pPr>
      <w:r>
        <w:t>Disclosure Schedule 4.47 — letztes Outstanding-Item: EIB-Zustimmungsschreiben noch nicht erhalten</w:t>
      </w:r>
    </w:p>
    <w:sectPr w:rsidR="00FC693F" w:rsidRPr="0006063C" w:rsidSect="00034616">
      <w:headerReference w:type="default" r:id="rId9"/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sz w:val="18"/>
      </w:rPr>
      <w:t>VERTRAULICH — REDLINE SPA v3 vs. v4 | AZ MR-2026-DR-0717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