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SHARE PURCHASE AGREEMENT</w:t>
      </w:r>
    </w:p>
    <w:p/>
    <w:p>
      <w:pPr>
        <w:jc w:val="center"/>
      </w:pPr>
      <w:r>
        <w:rPr>
          <w:sz w:val="22"/>
        </w:rPr>
        <w:t>between</w:t>
      </w:r>
    </w:p>
    <w:p/>
    <w:p>
      <w:pPr>
        <w:jc w:val="center"/>
      </w:pPr>
      <w:r>
        <w:rPr>
          <w:b/>
          <w:sz w:val="24"/>
        </w:rPr>
        <w:t>Volkenrath Energie SE, Berlin</w:t>
      </w:r>
    </w:p>
    <w:p>
      <w:pPr>
        <w:jc w:val="center"/>
      </w:pPr>
      <w:r>
        <w:t>(„Seller")</w:t>
      </w:r>
    </w:p>
    <w:p/>
    <w:p>
      <w:pPr>
        <w:jc w:val="center"/>
      </w:pPr>
      <w:r>
        <w:t>and</w:t>
      </w:r>
    </w:p>
    <w:p/>
    <w:p>
      <w:pPr>
        <w:jc w:val="center"/>
      </w:pPr>
      <w:r>
        <w:rPr>
          <w:b/>
          <w:sz w:val="24"/>
        </w:rPr>
        <w:t>Steinheim Capital Partners GmbH &amp; Co. KG, Frankfurt am Main</w:t>
      </w:r>
    </w:p>
    <w:p>
      <w:pPr>
        <w:jc w:val="center"/>
      </w:pPr>
      <w:r>
        <w:t>(„Buyer")</w:t>
      </w:r>
    </w:p>
    <w:p/>
    <w:p/>
    <w:p>
      <w:pPr>
        <w:jc w:val="center"/>
      </w:pPr>
      <w:r>
        <w:t>relating to the sale and purchase of</w:t>
      </w:r>
    </w:p>
    <w:p/>
    <w:p>
      <w:pPr>
        <w:jc w:val="center"/>
      </w:pPr>
      <w:r>
        <w:rPr>
          <w:b/>
          <w:sz w:val="26"/>
        </w:rPr>
        <w:t>100% of the shares in Volkenrath Solar Eppendorf GmbH</w:t>
      </w:r>
    </w:p>
    <w:p/>
    <w:p/>
    <w:p>
      <w:pPr>
        <w:jc w:val="center"/>
      </w:pPr>
      <w:r>
        <w:rPr>
          <w:sz w:val="20"/>
        </w:rPr>
        <w:t>Draft 4 — 10 October 2026</w:t>
        <w:br/>
        <w:t>Prepared by: Roosendaal Birkenhainer Partners mbB, Berlin</w:t>
        <w:br/>
        <w:t>Ref.: MR-2026-DR-0717</w:t>
      </w:r>
    </w:p>
    <w:p>
      <w:r>
        <w:br w:type="page"/>
      </w:r>
    </w:p>
    <w:p>
      <w:pPr>
        <w:pStyle w:val="Heading1"/>
      </w:pPr>
      <w:r>
        <w:t>TABLE OF CONTENTS</w:t>
      </w:r>
    </w:p>
    <w:tbl>
      <w:tblPr>
        <w:tblStyle w:val="TableGrid"/>
        <w:tblW w:type="auto" w:w="0"/>
        <w:tblLook w:firstColumn="1" w:firstRow="1" w:lastColumn="0" w:lastRow="0" w:noHBand="0" w:noVBand="1" w:val="04A0"/>
      </w:tblPr>
      <w:tblGrid>
        <w:gridCol w:w="3041"/>
        <w:gridCol w:w="3041"/>
        <w:gridCol w:w="3041"/>
      </w:tblGrid>
      <w:tr>
        <w:tc>
          <w:tcPr>
            <w:tcW w:type="dxa" w:w="3041"/>
          </w:tcPr>
          <w:p>
            <w:r>
              <w:rPr>
                <w:sz w:val="20"/>
              </w:rPr>
              <w:t>Article 1</w:t>
            </w:r>
          </w:p>
        </w:tc>
        <w:tc>
          <w:tcPr>
            <w:tcW w:type="dxa" w:w="3041"/>
          </w:tcPr>
          <w:p>
            <w:r>
              <w:rPr>
                <w:sz w:val="20"/>
              </w:rPr>
              <w:t>Definitions</w:t>
            </w:r>
          </w:p>
        </w:tc>
        <w:tc>
          <w:tcPr>
            <w:tcW w:type="dxa" w:w="3041"/>
          </w:tcPr>
          <w:p>
            <w:r>
              <w:rPr>
                <w:sz w:val="20"/>
              </w:rPr>
              <w:t>3</w:t>
            </w:r>
          </w:p>
        </w:tc>
      </w:tr>
      <w:tr>
        <w:tc>
          <w:tcPr>
            <w:tcW w:type="dxa" w:w="3041"/>
          </w:tcPr>
          <w:p>
            <w:r>
              <w:rPr>
                <w:sz w:val="20"/>
              </w:rPr>
              <w:t>Article 2</w:t>
            </w:r>
          </w:p>
        </w:tc>
        <w:tc>
          <w:tcPr>
            <w:tcW w:type="dxa" w:w="3041"/>
          </w:tcPr>
          <w:p>
            <w:r>
              <w:rPr>
                <w:sz w:val="20"/>
              </w:rPr>
              <w:t>Sale and Purchase; Purchase Price; Locked-Box Mechanism</w:t>
            </w:r>
          </w:p>
        </w:tc>
        <w:tc>
          <w:tcPr>
            <w:tcW w:type="dxa" w:w="3041"/>
          </w:tcPr>
          <w:p>
            <w:r>
              <w:rPr>
                <w:sz w:val="20"/>
              </w:rPr>
              <w:t>8</w:t>
            </w:r>
          </w:p>
        </w:tc>
      </w:tr>
      <w:tr>
        <w:tc>
          <w:tcPr>
            <w:tcW w:type="dxa" w:w="3041"/>
          </w:tcPr>
          <w:p>
            <w:r>
              <w:rPr>
                <w:sz w:val="20"/>
              </w:rPr>
              <w:t>Article 3</w:t>
            </w:r>
          </w:p>
        </w:tc>
        <w:tc>
          <w:tcPr>
            <w:tcW w:type="dxa" w:w="3041"/>
          </w:tcPr>
          <w:p>
            <w:r>
              <w:rPr>
                <w:sz w:val="20"/>
              </w:rPr>
              <w:t>Signing and Closing; Closing Conditions</w:t>
            </w:r>
          </w:p>
        </w:tc>
        <w:tc>
          <w:tcPr>
            <w:tcW w:type="dxa" w:w="3041"/>
          </w:tcPr>
          <w:p>
            <w:r>
              <w:rPr>
                <w:sz w:val="20"/>
              </w:rPr>
              <w:t>12</w:t>
            </w:r>
          </w:p>
        </w:tc>
      </w:tr>
      <w:tr>
        <w:tc>
          <w:tcPr>
            <w:tcW w:type="dxa" w:w="3041"/>
          </w:tcPr>
          <w:p>
            <w:r>
              <w:rPr>
                <w:sz w:val="20"/>
              </w:rPr>
              <w:t>Article 4</w:t>
            </w:r>
          </w:p>
        </w:tc>
        <w:tc>
          <w:tcPr>
            <w:tcW w:type="dxa" w:w="3041"/>
          </w:tcPr>
          <w:p>
            <w:r>
              <w:rPr>
                <w:sz w:val="20"/>
              </w:rPr>
              <w:t>Representations and Warranties of Seller</w:t>
            </w:r>
          </w:p>
        </w:tc>
        <w:tc>
          <w:tcPr>
            <w:tcW w:type="dxa" w:w="3041"/>
          </w:tcPr>
          <w:p>
            <w:r>
              <w:rPr>
                <w:sz w:val="20"/>
              </w:rPr>
              <w:t>15</w:t>
            </w:r>
          </w:p>
        </w:tc>
      </w:tr>
      <w:tr>
        <w:tc>
          <w:tcPr>
            <w:tcW w:type="dxa" w:w="3041"/>
          </w:tcPr>
          <w:p>
            <w:r>
              <w:rPr>
                <w:sz w:val="20"/>
              </w:rPr>
              <w:t>Article 5</w:t>
            </w:r>
          </w:p>
        </w:tc>
        <w:tc>
          <w:tcPr>
            <w:tcW w:type="dxa" w:w="3041"/>
          </w:tcPr>
          <w:p>
            <w:r>
              <w:rPr>
                <w:sz w:val="20"/>
              </w:rPr>
              <w:t>Representations and Warranties of Buyer</w:t>
            </w:r>
          </w:p>
        </w:tc>
        <w:tc>
          <w:tcPr>
            <w:tcW w:type="dxa" w:w="3041"/>
          </w:tcPr>
          <w:p>
            <w:r>
              <w:rPr>
                <w:sz w:val="20"/>
              </w:rPr>
              <w:t>22</w:t>
            </w:r>
          </w:p>
        </w:tc>
      </w:tr>
      <w:tr>
        <w:tc>
          <w:tcPr>
            <w:tcW w:type="dxa" w:w="3041"/>
          </w:tcPr>
          <w:p>
            <w:r>
              <w:rPr>
                <w:sz w:val="20"/>
              </w:rPr>
              <w:t>Article 6</w:t>
            </w:r>
          </w:p>
        </w:tc>
        <w:tc>
          <w:tcPr>
            <w:tcW w:type="dxa" w:w="3041"/>
          </w:tcPr>
          <w:p>
            <w:r>
              <w:rPr>
                <w:sz w:val="20"/>
              </w:rPr>
              <w:t>Indemnification; Limitations on Liability</w:t>
            </w:r>
          </w:p>
        </w:tc>
        <w:tc>
          <w:tcPr>
            <w:tcW w:type="dxa" w:w="3041"/>
          </w:tcPr>
          <w:p>
            <w:r>
              <w:rPr>
                <w:sz w:val="20"/>
              </w:rPr>
              <w:t>23</w:t>
            </w:r>
          </w:p>
        </w:tc>
      </w:tr>
      <w:tr>
        <w:tc>
          <w:tcPr>
            <w:tcW w:type="dxa" w:w="3041"/>
          </w:tcPr>
          <w:p>
            <w:r>
              <w:rPr>
                <w:sz w:val="20"/>
              </w:rPr>
              <w:t>Article 7</w:t>
            </w:r>
          </w:p>
        </w:tc>
        <w:tc>
          <w:tcPr>
            <w:tcW w:type="dxa" w:w="3041"/>
          </w:tcPr>
          <w:p>
            <w:r>
              <w:rPr>
                <w:sz w:val="20"/>
              </w:rPr>
              <w:t>Material Adverse Change</w:t>
            </w:r>
          </w:p>
        </w:tc>
        <w:tc>
          <w:tcPr>
            <w:tcW w:type="dxa" w:w="3041"/>
          </w:tcPr>
          <w:p>
            <w:r>
              <w:rPr>
                <w:sz w:val="20"/>
              </w:rPr>
              <w:t>27</w:t>
            </w:r>
          </w:p>
        </w:tc>
      </w:tr>
      <w:tr>
        <w:tc>
          <w:tcPr>
            <w:tcW w:type="dxa" w:w="3041"/>
          </w:tcPr>
          <w:p>
            <w:r>
              <w:rPr>
                <w:sz w:val="20"/>
              </w:rPr>
              <w:t>Article 8</w:t>
            </w:r>
          </w:p>
        </w:tc>
        <w:tc>
          <w:tcPr>
            <w:tcW w:type="dxa" w:w="3041"/>
          </w:tcPr>
          <w:p>
            <w:r>
              <w:rPr>
                <w:sz w:val="20"/>
              </w:rPr>
              <w:t>Earn-Out 2027</w:t>
            </w:r>
          </w:p>
        </w:tc>
        <w:tc>
          <w:tcPr>
            <w:tcW w:type="dxa" w:w="3041"/>
          </w:tcPr>
          <w:p>
            <w:r>
              <w:rPr>
                <w:sz w:val="20"/>
              </w:rPr>
              <w:t>29</w:t>
            </w:r>
          </w:p>
        </w:tc>
      </w:tr>
      <w:tr>
        <w:tc>
          <w:tcPr>
            <w:tcW w:type="dxa" w:w="3041"/>
          </w:tcPr>
          <w:p>
            <w:r>
              <w:rPr>
                <w:sz w:val="20"/>
              </w:rPr>
              <w:t>Article 9</w:t>
            </w:r>
          </w:p>
        </w:tc>
        <w:tc>
          <w:tcPr>
            <w:tcW w:type="dxa" w:w="3041"/>
          </w:tcPr>
          <w:p>
            <w:r>
              <w:rPr>
                <w:sz w:val="20"/>
              </w:rPr>
              <w:t>Pre-Closing Covenants</w:t>
            </w:r>
          </w:p>
        </w:tc>
        <w:tc>
          <w:tcPr>
            <w:tcW w:type="dxa" w:w="3041"/>
          </w:tcPr>
          <w:p>
            <w:r>
              <w:rPr>
                <w:sz w:val="20"/>
              </w:rPr>
              <w:t>32</w:t>
            </w:r>
          </w:p>
        </w:tc>
      </w:tr>
      <w:tr>
        <w:tc>
          <w:tcPr>
            <w:tcW w:type="dxa" w:w="3041"/>
          </w:tcPr>
          <w:p>
            <w:r>
              <w:rPr>
                <w:sz w:val="20"/>
              </w:rPr>
              <w:t>Article 10</w:t>
            </w:r>
          </w:p>
        </w:tc>
        <w:tc>
          <w:tcPr>
            <w:tcW w:type="dxa" w:w="3041"/>
          </w:tcPr>
          <w:p>
            <w:r>
              <w:rPr>
                <w:sz w:val="20"/>
              </w:rPr>
              <w:t>Miscellaneous</w:t>
            </w:r>
          </w:p>
        </w:tc>
        <w:tc>
          <w:tcPr>
            <w:tcW w:type="dxa" w:w="3041"/>
          </w:tcPr>
          <w:p>
            <w:r>
              <w:rPr>
                <w:sz w:val="20"/>
              </w:rPr>
              <w:t>34</w:t>
            </w:r>
          </w:p>
        </w:tc>
      </w:tr>
      <w:tr>
        <w:tc>
          <w:tcPr>
            <w:tcW w:type="dxa" w:w="3041"/>
          </w:tcPr>
          <w:p>
            <w:r>
              <w:rPr>
                <w:sz w:val="20"/>
              </w:rPr>
              <w:t>Schedule 1</w:t>
            </w:r>
          </w:p>
        </w:tc>
        <w:tc>
          <w:tcPr>
            <w:tcW w:type="dxa" w:w="3041"/>
          </w:tcPr>
          <w:p>
            <w:r>
              <w:rPr>
                <w:sz w:val="20"/>
              </w:rPr>
              <w:t>Defined Terms (Alphabetical List)</w:t>
            </w:r>
          </w:p>
        </w:tc>
        <w:tc>
          <w:tcPr>
            <w:tcW w:type="dxa" w:w="3041"/>
          </w:tcPr>
          <w:p>
            <w:r>
              <w:rPr>
                <w:sz w:val="20"/>
              </w:rPr>
              <w:t>36</w:t>
            </w:r>
          </w:p>
        </w:tc>
      </w:tr>
      <w:tr>
        <w:tc>
          <w:tcPr>
            <w:tcW w:type="dxa" w:w="3041"/>
          </w:tcPr>
          <w:p>
            <w:r>
              <w:rPr>
                <w:sz w:val="20"/>
              </w:rPr>
              <w:t>Schedule 2</w:t>
            </w:r>
          </w:p>
        </w:tc>
        <w:tc>
          <w:tcPr>
            <w:tcW w:type="dxa" w:w="3041"/>
          </w:tcPr>
          <w:p>
            <w:r>
              <w:rPr>
                <w:sz w:val="20"/>
              </w:rPr>
              <w:t>Locked-Box Reference Accounts (31 December 2025)</w:t>
            </w:r>
          </w:p>
        </w:tc>
        <w:tc>
          <w:tcPr>
            <w:tcW w:type="dxa" w:w="3041"/>
          </w:tcPr>
          <w:p>
            <w:r>
              <w:rPr>
                <w:sz w:val="20"/>
              </w:rPr>
              <w:t>38</w:t>
            </w:r>
          </w:p>
        </w:tc>
      </w:tr>
      <w:tr>
        <w:tc>
          <w:tcPr>
            <w:tcW w:type="dxa" w:w="3041"/>
          </w:tcPr>
          <w:p>
            <w:r>
              <w:rPr>
                <w:sz w:val="20"/>
              </w:rPr>
              <w:t>Schedule 3</w:t>
            </w:r>
          </w:p>
        </w:tc>
        <w:tc>
          <w:tcPr>
            <w:tcW w:type="dxa" w:w="3041"/>
          </w:tcPr>
          <w:p>
            <w:r>
              <w:rPr>
                <w:sz w:val="20"/>
              </w:rPr>
              <w:t>Agreed Leakage Items</w:t>
            </w:r>
          </w:p>
        </w:tc>
        <w:tc>
          <w:tcPr>
            <w:tcW w:type="dxa" w:w="3041"/>
          </w:tcPr>
          <w:p>
            <w:r>
              <w:rPr>
                <w:sz w:val="20"/>
              </w:rPr>
              <w:t>39</w:t>
            </w:r>
          </w:p>
        </w:tc>
      </w:tr>
      <w:tr>
        <w:tc>
          <w:tcPr>
            <w:tcW w:type="dxa" w:w="3041"/>
          </w:tcPr>
          <w:p>
            <w:r>
              <w:rPr>
                <w:sz w:val="20"/>
              </w:rPr>
              <w:t>Schedule 4</w:t>
            </w:r>
          </w:p>
        </w:tc>
        <w:tc>
          <w:tcPr>
            <w:tcW w:type="dxa" w:w="3041"/>
          </w:tcPr>
          <w:p>
            <w:r>
              <w:rPr>
                <w:sz w:val="20"/>
              </w:rPr>
              <w:t>Closing Deliverables</w:t>
            </w:r>
          </w:p>
        </w:tc>
        <w:tc>
          <w:tcPr>
            <w:tcW w:type="dxa" w:w="3041"/>
          </w:tcPr>
          <w:p>
            <w:r>
              <w:rPr>
                <w:sz w:val="20"/>
              </w:rPr>
              <w:t>40</w:t>
            </w:r>
          </w:p>
        </w:tc>
      </w:tr>
      <w:tr>
        <w:tc>
          <w:tcPr>
            <w:tcW w:type="dxa" w:w="3041"/>
          </w:tcPr>
          <w:p>
            <w:r>
              <w:rPr>
                <w:sz w:val="20"/>
              </w:rPr>
              <w:t>Schedule 5</w:t>
            </w:r>
          </w:p>
        </w:tc>
        <w:tc>
          <w:tcPr>
            <w:tcW w:type="dxa" w:w="3041"/>
          </w:tcPr>
          <w:p>
            <w:r>
              <w:rPr>
                <w:sz w:val="20"/>
              </w:rPr>
              <w:t>Shareholder Resolution Seller</w:t>
            </w:r>
          </w:p>
        </w:tc>
        <w:tc>
          <w:tcPr>
            <w:tcW w:type="dxa" w:w="3041"/>
          </w:tcPr>
          <w:p>
            <w:r>
              <w:rPr>
                <w:sz w:val="20"/>
              </w:rPr>
              <w:t>41</w:t>
            </w:r>
          </w:p>
        </w:tc>
      </w:tr>
      <w:tr>
        <w:tc>
          <w:tcPr>
            <w:tcW w:type="dxa" w:w="3041"/>
          </w:tcPr>
          <w:p>
            <w:r>
              <w:rPr>
                <w:sz w:val="20"/>
              </w:rPr>
              <w:t>Schedule 6-1 to 6-47</w:t>
            </w:r>
          </w:p>
        </w:tc>
        <w:tc>
          <w:tcPr>
            <w:tcW w:type="dxa" w:w="3041"/>
          </w:tcPr>
          <w:p>
            <w:r>
              <w:rPr>
                <w:sz w:val="20"/>
              </w:rPr>
              <w:t>Disclosure Schedules</w:t>
            </w:r>
          </w:p>
        </w:tc>
        <w:tc>
          <w:tcPr>
            <w:tcW w:type="dxa" w:w="3041"/>
          </w:tcPr>
          <w:p>
            <w:r>
              <w:rPr>
                <w:sz w:val="20"/>
              </w:rPr>
              <w:t>42</w:t>
            </w:r>
          </w:p>
        </w:tc>
      </w:tr>
      <w:tr>
        <w:tc>
          <w:tcPr>
            <w:tcW w:type="dxa" w:w="3041"/>
          </w:tcPr>
          <w:p>
            <w:r>
              <w:rPr>
                <w:sz w:val="20"/>
              </w:rPr>
              <w:t>Schedule 7</w:t>
            </w:r>
          </w:p>
        </w:tc>
        <w:tc>
          <w:tcPr>
            <w:tcW w:type="dxa" w:w="3041"/>
          </w:tcPr>
          <w:p>
            <w:r>
              <w:rPr>
                <w:sz w:val="20"/>
              </w:rPr>
              <w:t>Engineering Services Agreement (SolarService GmbH)</w:t>
            </w:r>
          </w:p>
        </w:tc>
        <w:tc>
          <w:tcPr>
            <w:tcW w:type="dxa" w:w="3041"/>
          </w:tcPr>
          <w:p>
            <w:r>
              <w:rPr>
                <w:sz w:val="20"/>
              </w:rPr>
              <w:t>88</w:t>
            </w:r>
          </w:p>
        </w:tc>
      </w:tr>
      <w:tr>
        <w:tc>
          <w:tcPr>
            <w:tcW w:type="dxa" w:w="3041"/>
          </w:tcPr>
          <w:p>
            <w:r>
              <w:rPr>
                <w:sz w:val="20"/>
              </w:rPr>
              <w:t>Schedule 8-A</w:t>
            </w:r>
          </w:p>
        </w:tc>
        <w:tc>
          <w:tcPr>
            <w:tcW w:type="dxa" w:w="3041"/>
          </w:tcPr>
          <w:p>
            <w:r>
              <w:rPr>
                <w:sz w:val="20"/>
              </w:rPr>
              <w:t>Agreed Extraordinary Items (Earn-Out)</w:t>
            </w:r>
          </w:p>
        </w:tc>
        <w:tc>
          <w:tcPr>
            <w:tcW w:type="dxa" w:w="3041"/>
          </w:tcPr>
          <w:p>
            <w:r>
              <w:rPr>
                <w:sz w:val="20"/>
              </w:rPr>
              <w:t>89</w:t>
            </w:r>
          </w:p>
        </w:tc>
      </w:tr>
      <w:tr>
        <w:tc>
          <w:tcPr>
            <w:tcW w:type="dxa" w:w="3041"/>
          </w:tcPr>
          <w:p>
            <w:r>
              <w:rPr>
                <w:sz w:val="20"/>
              </w:rPr>
              <w:t>Schedule 9</w:t>
            </w:r>
          </w:p>
        </w:tc>
        <w:tc>
          <w:tcPr>
            <w:tcW w:type="dxa" w:w="3041"/>
          </w:tcPr>
          <w:p>
            <w:r>
              <w:rPr>
                <w:sz w:val="20"/>
              </w:rPr>
              <w:t>W&amp;I Insurance Policy Summary</w:t>
            </w:r>
          </w:p>
        </w:tc>
        <w:tc>
          <w:tcPr>
            <w:tcW w:type="dxa" w:w="3041"/>
          </w:tcPr>
          <w:p>
            <w:r>
              <w:rPr>
                <w:sz w:val="20"/>
              </w:rPr>
              <w:t>90</w:t>
            </w:r>
          </w:p>
        </w:tc>
      </w:tr>
    </w:tbl>
    <w:p>
      <w:r>
        <w:br w:type="page"/>
      </w:r>
    </w:p>
    <w:p>
      <w:pPr>
        <w:pStyle w:val="Heading1"/>
      </w:pPr>
      <w:r>
        <w:t>ARTICLE 1 — DEFINITIONS</w:t>
      </w:r>
    </w:p>
    <w:p>
      <w:r>
        <w:t>In this Agreement, the following terms shall have the meanings set forth below. All other capitalized terms used herein shall have the meanings assigned to them in the context in which they first appear.</w:t>
      </w:r>
    </w:p>
    <w:p>
      <w:pPr>
        <w:spacing w:after="80"/>
      </w:pPr>
      <w:r>
        <w:rPr>
          <w:b/>
          <w:sz w:val="20"/>
        </w:rPr>
        <w:t xml:space="preserve">"Adjusted EBITDA"  </w:t>
      </w:r>
      <w:r>
        <w:rPr>
          <w:sz w:val="20"/>
        </w:rPr>
        <w:t>has the meaning set forth in Article 8.1 of this Agreement.</w:t>
      </w:r>
    </w:p>
    <w:p>
      <w:pPr>
        <w:spacing w:after="80"/>
      </w:pPr>
      <w:r>
        <w:rPr>
          <w:b/>
          <w:sz w:val="20"/>
        </w:rPr>
        <w:t xml:space="preserve">"Basket"  </w:t>
      </w:r>
      <w:r>
        <w:rPr>
          <w:sz w:val="20"/>
        </w:rPr>
        <w:t>means EUR 400,000 (four hundred thousand Euros), as further described in Article 6.3.</w:t>
      </w:r>
    </w:p>
    <w:p>
      <w:pPr>
        <w:spacing w:after="80"/>
      </w:pPr>
      <w:r>
        <w:rPr>
          <w:b/>
          <w:sz w:val="20"/>
        </w:rPr>
        <w:t xml:space="preserve">"Business Day"  </w:t>
      </w:r>
      <w:r>
        <w:rPr>
          <w:sz w:val="20"/>
        </w:rPr>
        <w:t>means any day other than a Saturday, Sunday or public holiday in Berlin, Germany.</w:t>
      </w:r>
    </w:p>
    <w:p>
      <w:pPr>
        <w:spacing w:after="80"/>
      </w:pPr>
      <w:r>
        <w:rPr>
          <w:b/>
          <w:sz w:val="20"/>
        </w:rPr>
        <w:t xml:space="preserve">"Closing"  </w:t>
      </w:r>
      <w:r>
        <w:rPr>
          <w:sz w:val="20"/>
        </w:rPr>
        <w:t>means the completion of the transactions contemplated by this Agreement on the Closing Date.</w:t>
      </w:r>
    </w:p>
    <w:p>
      <w:pPr>
        <w:spacing w:after="80"/>
      </w:pPr>
      <w:r>
        <w:rPr>
          <w:b/>
          <w:sz w:val="20"/>
        </w:rPr>
        <w:t xml:space="preserve">"Closing Date"  </w:t>
      </w:r>
      <w:r>
        <w:rPr>
          <w:sz w:val="20"/>
        </w:rPr>
        <w:t>means the date on which Closing occurs, being simultaneously with Signing on 16 December 2026, or such other date as the Parties may agree in writing.</w:t>
      </w:r>
    </w:p>
    <w:p>
      <w:pPr>
        <w:spacing w:after="80"/>
      </w:pPr>
      <w:r>
        <w:rPr>
          <w:b/>
          <w:sz w:val="20"/>
        </w:rPr>
        <w:t xml:space="preserve">"De Minimis Amount"  </w:t>
      </w:r>
      <w:r>
        <w:rPr>
          <w:sz w:val="20"/>
        </w:rPr>
        <w:t>means EUR 60,000 (sixty thousand Euros) per individual Claim or series of related Claims.</w:t>
      </w:r>
    </w:p>
    <w:p>
      <w:pPr>
        <w:spacing w:after="80"/>
      </w:pPr>
      <w:r>
        <w:rPr>
          <w:b/>
          <w:sz w:val="20"/>
        </w:rPr>
        <w:t xml:space="preserve">"Earn-Out EBITDA"  </w:t>
      </w:r>
      <w:r>
        <w:rPr>
          <w:sz w:val="20"/>
        </w:rPr>
        <w:t>has the meaning set forth in Article 8.1 of this Agreement.</w:t>
      </w:r>
    </w:p>
    <w:p>
      <w:pPr>
        <w:spacing w:after="80"/>
      </w:pPr>
      <w:r>
        <w:rPr>
          <w:b/>
          <w:sz w:val="20"/>
        </w:rPr>
        <w:t xml:space="preserve">"Earn-Out Payment"  </w:t>
      </w:r>
      <w:r>
        <w:rPr>
          <w:sz w:val="20"/>
        </w:rPr>
        <w:t>means the amount payable by Buyer to Seller pursuant to Article 8, being a maximum of EUR 3,500,000 (three million five hundred thousand Euros).</w:t>
      </w:r>
    </w:p>
    <w:p>
      <w:pPr>
        <w:spacing w:after="80"/>
      </w:pPr>
      <w:r>
        <w:rPr>
          <w:b/>
          <w:sz w:val="20"/>
        </w:rPr>
        <w:t xml:space="preserve">"General Cap"  </w:t>
      </w:r>
      <w:r>
        <w:rPr>
          <w:sz w:val="20"/>
        </w:rPr>
        <w:t>means EUR 6,500,000 (six million five hundred thousand Euros).</w:t>
      </w:r>
    </w:p>
    <w:p>
      <w:pPr>
        <w:spacing w:after="80"/>
      </w:pPr>
      <w:r>
        <w:rPr>
          <w:b/>
          <w:sz w:val="20"/>
        </w:rPr>
        <w:t xml:space="preserve">"Locked-Box Date"  </w:t>
      </w:r>
      <w:r>
        <w:rPr>
          <w:sz w:val="20"/>
        </w:rPr>
        <w:t>means 31 December 2025.</w:t>
      </w:r>
    </w:p>
    <w:p>
      <w:pPr>
        <w:spacing w:after="80"/>
      </w:pPr>
      <w:r>
        <w:rPr>
          <w:b/>
          <w:sz w:val="20"/>
        </w:rPr>
        <w:t xml:space="preserve">"Material Adverse Change" or "MAC"  </w:t>
      </w:r>
      <w:r>
        <w:rPr>
          <w:sz w:val="20"/>
        </w:rPr>
        <w:t>has the meaning set forth in Article 7.1 of this Agreement.</w:t>
      </w:r>
    </w:p>
    <w:p>
      <w:pPr>
        <w:spacing w:after="80"/>
      </w:pPr>
      <w:r>
        <w:rPr>
          <w:b/>
          <w:sz w:val="20"/>
        </w:rPr>
        <w:t xml:space="preserve">"Purchase Price"  </w:t>
      </w:r>
      <w:r>
        <w:rPr>
          <w:sz w:val="20"/>
        </w:rPr>
        <w:t>means EUR 37,712,150 (thirty-seven million seven hundred twelve thousand one hundred fifty Euros), as adjusted pursuant to Article 2.</w:t>
      </w:r>
    </w:p>
    <w:p>
      <w:pPr>
        <w:spacing w:after="80"/>
      </w:pPr>
      <w:r>
        <w:rPr>
          <w:b/>
          <w:sz w:val="20"/>
        </w:rPr>
        <w:t xml:space="preserve">"Seller's Knowledge"  </w:t>
      </w:r>
      <w:r>
        <w:rPr>
          <w:sz w:val="20"/>
        </w:rPr>
        <w:t>means the actual knowledge, after reasonable inquiry, of Dr. Claudia Volkenrath-Eichmueller (CEO), Dipl.-Kfm. Peter Rahming-Ostberg (CFO), Dr. Franziska Schwingenstein-Pohlmann (GC), Dipl.-Ing. Robert Falkenberg-Struve (Head of Engineering), and Monika Dreissigacker-Baus (Head of Finance of the Target Company).</w:t>
      </w:r>
    </w:p>
    <w:p>
      <w:pPr>
        <w:spacing w:after="80"/>
      </w:pPr>
      <w:r>
        <w:rPr>
          <w:b/>
          <w:sz w:val="20"/>
        </w:rPr>
        <w:t xml:space="preserve">"Target Company"  </w:t>
      </w:r>
      <w:r>
        <w:rPr>
          <w:sz w:val="20"/>
        </w:rPr>
        <w:t>means Volkenrath Solar Eppendorf GmbH, registered with the Commercial Register of the Local Court (Amtsgericht) Berlin-Charlottenburg under HRB 72 341 B.</w:t>
      </w:r>
    </w:p>
    <w:p>
      <w:pPr>
        <w:spacing w:after="80"/>
      </w:pPr>
      <w:r>
        <w:rPr>
          <w:b/>
          <w:sz w:val="20"/>
        </w:rPr>
        <w:t xml:space="preserve">"Tax Cap"  </w:t>
      </w:r>
      <w:r>
        <w:rPr>
          <w:sz w:val="20"/>
        </w:rPr>
        <w:t>means EUR 10,000,000 (ten million Euros).</w:t>
      </w:r>
    </w:p>
    <w:p>
      <w:r>
        <w:br w:type="page"/>
      </w:r>
    </w:p>
    <w:p>
      <w:pPr>
        <w:pStyle w:val="Heading1"/>
      </w:pPr>
      <w:r>
        <w:t>ARTICLE 2 — SALE AND PURCHASE; PURCHASE PRICE</w:t>
      </w:r>
    </w:p>
    <w:p>
      <w:pPr>
        <w:pStyle w:val="Heading2"/>
      </w:pPr>
      <w:r>
        <w:t>2.1  Sale and Purchase</w:t>
      </w:r>
    </w:p>
    <w:p>
      <w:r>
        <w:t>Subject to the terms and conditions of this Agreement, Seller hereby sells and transfers (uebertragen) to Buyer, and Buyer hereby acquires from Seller, 100% of the Shares in the Target Company (the "Transferred Shares") with effect as of the Closing Date, free and clear of all Encumbrances.</w:t>
      </w:r>
    </w:p>
    <w:p>
      <w:pPr>
        <w:pStyle w:val="Heading2"/>
      </w:pPr>
      <w:r>
        <w:t>2.2  Purchase Price</w:t>
      </w:r>
    </w:p>
    <w:p>
      <w:r>
        <w:t>The aggregate purchase price for the Transferred Shares shall be EUR 37,712,150 (thirty-seven million seven hundred twelve thousand one hundred fifty Euros) (the "Purchase Price"), which reflects the Enterprise Value of EUR 38,000,000 less the agreed adjustment for potential Grunderwerbsteuer liability of EUR 287,850 pursuant to the Parties' agreement dated 22 October 2026.</w:t>
      </w:r>
    </w:p>
    <w:p>
      <w:pPr>
        <w:pStyle w:val="Heading2"/>
      </w:pPr>
      <w:r>
        <w:t>2.3  Locked-Box Mechanism</w:t>
      </w:r>
    </w:p>
    <w:p>
      <w:r>
        <w:t>The Purchase Price has been calculated on the basis of the Reference Accounts as at the Locked-Box Date (31 December 2025). No post-Closing adjustment to the Purchase Price shall be made except as expressly provided in this Agreement. Locked-Box Interest of EUR 5,200 per calendar day accrues from 1 January 2026 until and including the Closing Date.</w:t>
      </w:r>
    </w:p>
    <w:sectPr w:rsidR="00FC693F" w:rsidRPr="0006063C" w:rsidSect="00034616">
      <w:headerReference w:type="default" r:id="rId9"/>
      <w:pgSz w:w="12240" w:h="15840"/>
      <w:pgMar w:top="1417" w:right="1417"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sz w:val="18"/>
      </w:rPr>
      <w:t>VERTRAULICH — ENTWURF OHNE PRAEJUDIZ | AZ MR-2026-DR-0717 | Draft 4 / 10.10.2026</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