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100"/>
        <w:jc w:val="center"/>
      </w:pPr>
      <w:r>
        <w:t xml:space="preserve">KLAGESCHRIFT (ENTWURF — NICHT EINGEREICHT)</w:t>
      </w:r>
    </w:p>
    <w:p>
      <w:pPr>
        <w:spacing w:after="200"/>
        <w:jc w:val="center"/>
      </w:pPr>
      <w:r>
        <w:rPr>
          <w:b/>
          <w:bCs/>
          <w:color w:val="A13544"/>
        </w:rPr>
        <w:t xml:space="preserve">ENTWURF — VORSORGLICH ERSTELLT, NICHT ZUR EINREICHUNG BESTIMMT</w:t>
      </w:r>
    </w:p>
    <w:p>
      <w:pPr>
        <w:jc w:val="center"/>
      </w:pPr>
      <w:r>
        <w:t xml:space="preserve">Gericht der Europäischen Union (EuG)</w:t>
      </w:r>
    </w:p>
    <w:p>
      <w:pPr>
        <w:spacing w:after="300"/>
        <w:jc w:val="center"/>
      </w:pPr>
      <w:r>
        <w:t xml:space="preserve">Rue du Fort Niedergrünewald, L-2925 Luxemburg</w:t>
      </w:r>
    </w:p>
    <w:p>
      <w:pPr>
        <w:jc w:val="center"/>
      </w:pPr>
      <w:r>
        <w:t xml:space="preserve">IN DER RECHTSSACHE</w:t>
      </w:r>
    </w:p>
    <w:p>
      <w:pPr>
        <w:jc w:val="center"/>
      </w:pPr>
      <w:r>
        <w:rPr>
          <w:b/>
          <w:bCs/>
        </w:rPr>
        <w:t xml:space="preserve">Körnerstrom Social GmbH</w:t>
      </w:r>
    </w:p>
    <w:p>
      <w:pPr>
        <w:jc w:val="center"/>
      </w:pPr>
      <w:r>
        <w:t xml:space="preserve">Torstraße 177, 10115 Berlin, Deutschland</w:t>
      </w:r>
    </w:p>
    <w:p>
      <w:pPr>
        <w:spacing w:after="200"/>
        <w:jc w:val="center"/>
      </w:pPr>
      <w:r>
        <w:t xml:space="preserve">— Klägerin —</w:t>
      </w:r>
    </w:p>
    <w:p>
      <w:pPr>
        <w:spacing w:after="200"/>
        <w:jc w:val="center"/>
      </w:pPr>
      <w:r>
        <w:t xml:space="preserve">gegen</w:t>
      </w:r>
    </w:p>
    <w:p>
      <w:pPr>
        <w:jc w:val="center"/>
      </w:pPr>
      <w:r>
        <w:rPr>
          <w:b/>
          <w:bCs/>
        </w:rPr>
        <w:t xml:space="preserve">Europäische Kommission</w:t>
      </w:r>
    </w:p>
    <w:p>
      <w:pPr>
        <w:jc w:val="center"/>
      </w:pPr>
      <w:r>
        <w:t xml:space="preserve">Rue de la Loi 200, 1049 Brüssel, Belgien</w:t>
      </w:r>
    </w:p>
    <w:p>
      <w:pPr>
        <w:spacing w:after="400"/>
        <w:jc w:val="center"/>
      </w:pPr>
      <w:r>
        <w:t xml:space="preserve">— Beklagte —</w:t>
      </w:r>
    </w:p>
    <w:p>
      <w:pPr>
        <w:spacing w:after="100"/>
      </w:pPr>
      <w:r>
        <w:rPr>
          <w:b/>
          <w:bCs/>
        </w:rPr>
        <w:t xml:space="preserve">Streitgegenstand:</w:t>
      </w:r>
    </w:p>
    <w:p>
      <w:pPr>
        <w:spacing w:after="300"/>
      </w:pPr>
      <w:r>
        <w:t xml:space="preserve">Nichtigkeitsklage nach Art. 263 Abs. 4 AEUV gegen den Durchführungsbeschluss der Europäischen Kommission vom 14. März 2026 (Az. CASE COMP M.92188) über die Designation der Körnerstrom Social GmbH als Betreiberin einer Very Large Online Platform (VLOP) nach Art. 33 Abs. 4 der Verordnung (EU) 2022/2065 (Digital Services Act, DSA).</w:t>
      </w:r>
    </w:p>
    <w:p>
      <w:pPr>
        <w:pStyle w:val="Heading1"/>
        <w:spacing w:after="200" w:before="300"/>
      </w:pPr>
      <w:r>
        <w:rPr>
          <w:b/>
          <w:bCs/>
        </w:rPr>
        <w:t xml:space="preserve">I. Sachverhalt</w:t>
      </w:r>
    </w:p>
    <w:p>
      <w:pPr>
        <w:spacing w:after="200"/>
      </w:pPr>
      <w:r>
        <w:t xml:space="preserve">Die Klägerin, die Körnerstrom Social GmbH, betreibt die Soziale Plattform Halmweise.de. Am 14. März 2026 erließ die Beklagte, die Europäische Kommission, auf Grundlage des Art. 33 Abs. 4 DSA den angefochtenen Designationsbeschluss, mit dem die Klägerin als VLOP designiert wurde. Der Beschluss wurde am 16. März 2026 im Amtsblatt der Europäischen Union (L-Reihe) veröffentlicht.</w:t>
      </w:r>
    </w:p>
    <w:p>
      <w:pPr>
        <w:pStyle w:val="Heading1"/>
        <w:spacing w:after="200" w:before="300"/>
      </w:pPr>
      <w:r>
        <w:rPr>
          <w:b/>
          <w:bCs/>
        </w:rPr>
        <w:t xml:space="preserve">II. Zulässigkeit</w:t>
      </w:r>
    </w:p>
    <w:p>
      <w:pPr>
        <w:pStyle w:val="Heading2"/>
        <w:spacing w:after="150" w:before="200"/>
      </w:pPr>
      <w:r>
        <w:rPr>
          <w:b/>
          <w:bCs/>
        </w:rPr>
        <w:t xml:space="preserve">1. Klagebefugnis</w:t>
      </w:r>
    </w:p>
    <w:p>
      <w:pPr>
        <w:spacing w:after="200"/>
      </w:pPr>
      <w:r>
        <w:t xml:space="preserve">Die Klägerin ist unmittelbar und individuell vom angefochtenen Beschluss betroffen im Sinne des Art. 263 Abs. 4 AEUV. Der Beschluss designiert die Klägerin namentlich und begründet unmittelbar Pflichten (Art. 34-43 DSA) sowie Bußgeldrisiken (Art. 74 DSA) ohne weiteren Umsetzungsakt. Die Klagebefugnis ist damit gegeben (vgl. EuGH, Rs. C-25/62 — Plaumann).</w:t>
      </w:r>
    </w:p>
    <w:p>
      <w:pPr>
        <w:pStyle w:val="Heading2"/>
        <w:spacing w:after="150" w:before="200"/>
      </w:pPr>
      <w:r>
        <w:rPr>
          <w:b/>
          <w:bCs/>
        </w:rPr>
        <w:t xml:space="preserve">2. Frist</w:t>
      </w:r>
    </w:p>
    <w:p>
      <w:pPr>
        <w:spacing w:after="200"/>
      </w:pPr>
      <w:r>
        <w:t xml:space="preserve">Die Klagefrist nach Art. 263 Abs. 6 AEUV beträgt zwei Monate ab Bekanntgabe des Beschlusses. Da der Beschluss am 16. März 2026 im Amtsblatt veröffentlicht wurde, endet die Klagefrist am 14. Mai 2026 (unter Berücksichtigung der Fristenverlängerung nach Art. 45 Abs. 2 Verfahrensordnung EuG für Entfernung vom Sitz des Gerichts: +10 Tage).</w:t>
      </w:r>
    </w:p>
    <w:p>
      <w:pPr>
        <w:pStyle w:val="Heading1"/>
        <w:spacing w:after="200" w:before="300"/>
      </w:pPr>
      <w:r>
        <w:rPr>
          <w:b/>
          <w:bCs/>
        </w:rPr>
        <w:t xml:space="preserve">III. Begründetheit</w:t>
      </w:r>
    </w:p>
    <w:p>
      <w:pPr>
        <w:spacing w:after="150"/>
      </w:pPr>
      <w:r>
        <w:rPr>
          <w:b/>
          <w:bCs/>
          <w:color w:val="A13544"/>
        </w:rPr>
        <w:t xml:space="preserve">Vorbemerkung (ENTWURF)</w:t>
      </w:r>
    </w:p>
    <w:p>
      <w:pPr>
        <w:spacing w:after="200"/>
      </w:pPr>
      <w:r>
        <w:rPr>
          <w:i/>
          <w:iCs/>
          <w:color w:val="A84B2F"/>
        </w:rPr>
        <w:t xml:space="preserve">HINWEIS: Dieser Klageentwurf dient ausschließlich der vorsorglich-juristischen Prüfung. Nach eingehender Analyse empfiehlt die Kanzlei Klotzkette, die Klage nicht einzulegen, da (a) die Nutzerzahl 51 Mio. die Schwelle des Art. 33 Abs. 1 DSA (45 Mio.) eindeutig überschreitet und (b) die Prozessführung erhebliche Ressourcen binden würde, die besser für die Compliance-Umsetzung eingesetzt werden. Die folgenden Klagegründe sind im Interesse einer vollständigen Darstellung aufgeführt.</w:t>
      </w:r>
    </w:p>
    <w:p>
      <w:pPr>
        <w:pStyle w:val="Heading2"/>
        <w:spacing w:after="150" w:before="200"/>
      </w:pPr>
      <w:r>
        <w:rPr>
          <w:b/>
          <w:bCs/>
        </w:rPr>
        <w:t xml:space="preserve">Klagegrund 1: Fehlerhafte Berechnung der aktiven Nutzer</w:t>
      </w:r>
    </w:p>
    <w:p>
      <w:pPr>
        <w:spacing w:after="200"/>
      </w:pPr>
      <w:r>
        <w:t xml:space="preserve">Die Klägerin macht geltend, dass die Kommission bei der Berechnung der aktiven Nutzer nicht die Delegierte Verordnung (EU) 2023/1932 korrekt angewandt hat, insbesondere hinsichtlich der Methodik zur Bestimmung 'aktiver' Nutzung. Die Berechnungsgrundlage ist streitig.</w:t>
      </w:r>
    </w:p>
    <w:p>
      <w:pPr>
        <w:pStyle w:val="Heading2"/>
        <w:spacing w:after="150" w:before="200"/>
      </w:pPr>
      <w:r>
        <w:rPr>
          <w:b/>
          <w:bCs/>
        </w:rPr>
        <w:t xml:space="preserve">Klagegrund 2: Verletzung des Verhältnismäßigkeitsgrundsatzes</w:t>
      </w:r>
    </w:p>
    <w:p>
      <w:pPr>
        <w:spacing w:after="200"/>
      </w:pPr>
      <w:r>
        <w:t xml:space="preserve">Die unmittelbare Auferlegung sämtlicher VLOP-Pflichten (Art. 34-43 DSA) ohne Prüfung der konkreten Systemrisiken der Klägerin verstößt gegen den Verhältnismäßigkeitsgrundsatz nach Art. 5 Abs. 4 EUV.</w:t>
      </w:r>
    </w:p>
    <w:p>
      <w:pPr>
        <w:pStyle w:val="Heading1"/>
        <w:spacing w:after="200" w:before="300"/>
      </w:pPr>
      <w:r>
        <w:rPr>
          <w:b/>
          <w:bCs/>
        </w:rPr>
        <w:t xml:space="preserve">IV. Antrag</w:t>
      </w:r>
    </w:p>
    <w:p>
      <w:pPr>
        <w:spacing w:after="300"/>
      </w:pPr>
      <w:r>
        <w:t xml:space="preserve">Die Klägerin beantragt: 1. Den Durchführungsbeschluss der Europäischen Kommission vom 14. März 2026 (Az. CASE COMP M.92188) für nichtig zu erklären. 2. Der Beklagten die Kosten des Verfahrens aufzuerlegen. 3. Hilfsweise: Den Beschluss für nichtig zu erklären, soweit er die Klägerin verpflichtet, sämtliche VLOP-Pflichten innerhalb von vier Monaten umzusetzen, ohne dass eine angemessene Umsetzungsfrist eingeräumt wird.</w:t>
      </w:r>
    </w:p>
    <w:p>
      <w:r>
        <w:t xml:space="preserve">Berlin / Luxemburg, April 2026 (ENTWURF)</w:t>
      </w:r>
    </w:p>
    <w:p>
      <w:pPr>
        <w:spacing w:after="50" w:before="200"/>
      </w:pPr>
      <w:r>
        <w:rPr>
          <w:b/>
          <w:bCs/>
        </w:rPr>
        <w:t xml:space="preserve">RAin Dr. Philippa Groth-Steinberg</w:t>
      </w:r>
    </w:p>
    <w:p>
      <w:r>
        <w:t xml:space="preserve">Klotzkette Rechtsanwaltsgesellschaft mbH</w:t>
      </w:r>
    </w:p>
    <w:p/>
    <w:p>
      <w:r>
        <w:t xml:space="preserve">Me. Pierre Leclercq, Leclercq &amp; Moreau SCRL, Brüssel (Korrespondenzanwalt)</w:t>
      </w:r>
    </w:p>
    <w:p>
      <w:pPr>
        <w:spacing w:before="400"/>
      </w:pPr>
      <w:r>
        <w:rPr>
          <w:i/>
          <w:iCs/>
          <w:color w:val="7A7974"/>
          <w:sz w:val="18"/>
          <w:szCs w:val="18"/>
        </w:rPr>
        <w:t xml:space="preserve">Quellen: Art. 263 AEUV, EUR-Lex: https://eur-lex.europa.eu/legal-content/DE/TXT/?uri=CELEX%3A12012E/TXT | Verordnung (EU) 2022/2065 (DSA): https://eur-lex.europa.eu/legal-content/DE/TXT/?uri=CELEX%3A32022R2065 | EuGH Rs. C-25/62 Plaumann, openjur.de: https://openjur.de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2026-05-30T18:11:52.781Z</dcterms:created>
  <dcterms:modified xsi:type="dcterms:W3CDTF">2026-05-30T18:11:52.781Z</dcterms:modified>
</cp:coreProperties>
</file>

<file path=docProps/custom.xml><?xml version="1.0" encoding="utf-8"?>
<Properties xmlns="http://schemas.openxmlformats.org/officeDocument/2006/custom-properties" xmlns:vt="http://schemas.openxmlformats.org/officeDocument/2006/docPropsVTypes"/>
</file>