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jc w:val="center"/>
      </w:pPr>
      <w:r>
        <w:t xml:space="preserve">Risikoreduktionsplan Halmweise.de</w:t>
      </w:r>
    </w:p>
    <w:p>
      <w:pPr>
        <w:spacing w:after="100"/>
        <w:jc w:val="center"/>
      </w:pPr>
      <w:r>
        <w:rPr>
          <w:b/>
          <w:bCs/>
        </w:rPr>
        <w:t xml:space="preserve">Maßnahmenumsetzung nach Art. 35 DSA (EU) 2022/2065</w:t>
      </w:r>
    </w:p>
    <w:p>
      <w:pPr>
        <w:spacing w:after="400"/>
        <w:jc w:val="center"/>
      </w:pPr>
      <w:r>
        <w:t xml:space="preserve">Az. KRS-2026-0318-DSA | Körnerstrom Social GmbH | Stand: April 2026</w:t>
      </w:r>
    </w:p>
    <w:p>
      <w:pPr>
        <w:pStyle w:val="Heading1"/>
        <w:spacing w:after="200" w:before="300"/>
      </w:pPr>
      <w:r>
        <w:rPr>
          <w:b/>
          <w:bCs/>
        </w:rPr>
        <w:t xml:space="preserve">I. Einleitung und Normgrundlage</w:t>
      </w:r>
    </w:p>
    <w:p>
      <w:pPr>
        <w:spacing w:after="200"/>
      </w:pPr>
      <w:r>
        <w:t xml:space="preserve">Dieser Risikoreduktionsplan dokumentiert die Maßnahmen der Körnerstrom Social GmbH zur Umsetzung der Risikominderungspflichten nach Art. 35 DSA (EU) 2022/2065. Er beruht auf der Systemischen Risikobewertung nach Art. 34 DSA (Aktenstück 04) und adressiert die vier durch die Bundesnetzagentur beanstandeten Verstöße (Az. BNetzA-DSC-2026-188).</w:t>
      </w:r>
    </w:p>
    <w:p>
      <w:pPr>
        <w:pStyle w:val="Heading1"/>
        <w:spacing w:after="200" w:before="300"/>
      </w:pPr>
      <w:r>
        <w:rPr>
          <w:b/>
          <w:bCs/>
        </w:rPr>
        <w:t xml:space="preserve">II. Maßnahmenübersicht</w:t>
      </w:r>
    </w:p>
    <w:tbl>
      <w:tblPr>
        <w:tblW w:type="dxa" w:w="10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dxa" w:w="2000"/>
          </w:tcPr>
          <w:p>
            <w:r>
              <w:rPr>
                <w:b/>
                <w:bCs/>
                <w:sz w:val="20"/>
                <w:szCs w:val="20"/>
              </w:rPr>
              <w:t xml:space="preserve">Nr.</w:t>
            </w:r>
          </w:p>
        </w:tc>
        <w:tc>
          <w:tcPr>
            <w:tcW w:type="dxa" w:w="2000"/>
          </w:tcPr>
          <w:p>
            <w:r>
              <w:rPr>
                <w:b/>
                <w:bCs/>
                <w:sz w:val="20"/>
                <w:szCs w:val="20"/>
              </w:rPr>
              <w:t xml:space="preserve">Maßnahme</w:t>
            </w:r>
          </w:p>
        </w:tc>
        <w:tc>
          <w:tcPr>
            <w:tcW w:type="dxa" w:w="2000"/>
          </w:tcPr>
          <w:p>
            <w:r>
              <w:rPr>
                <w:b/>
                <w:bCs/>
                <w:sz w:val="20"/>
                <w:szCs w:val="20"/>
              </w:rPr>
              <w:t xml:space="preserve">Artikel DSA</w:t>
            </w:r>
          </w:p>
        </w:tc>
        <w:tc>
          <w:tcPr>
            <w:tcW w:type="dxa" w:w="2000"/>
          </w:tcPr>
          <w:p>
            <w:r>
              <w:rPr>
                <w:b/>
                <w:bCs/>
                <w:sz w:val="20"/>
                <w:szCs w:val="20"/>
              </w:rPr>
              <w:t xml:space="preserve">Frist</w:t>
            </w:r>
          </w:p>
        </w:tc>
        <w:tc>
          <w:tcPr>
            <w:tcW w:type="dxa" w:w="2000"/>
          </w:tcPr>
          <w:p>
            <w:r>
              <w:rPr>
                <w:b/>
                <w:bCs/>
                <w:sz w:val="20"/>
                <w:szCs w:val="20"/>
              </w:rPr>
              <w:t xml:space="preserve">Verantwortlich</w:t>
            </w:r>
          </w:p>
        </w:tc>
      </w:tr>
      <w:tr>
        <w:tc>
          <w:tcPr>
            <w:tcW w:type="dxa" w:w="2000"/>
          </w:tcPr>
          <w:p>
            <w:r>
              <w:rPr>
                <w:b w:val="false"/>
                <w:bCs w:val="false"/>
                <w:sz w:val="18"/>
                <w:szCs w:val="18"/>
              </w:rPr>
              <w:t xml:space="preserve">1</w:t>
            </w:r>
          </w:p>
        </w:tc>
        <w:tc>
          <w:tcPr>
            <w:tcW w:type="dxa" w:w="2000"/>
          </w:tcPr>
          <w:p>
            <w:r>
              <w:rPr>
                <w:b w:val="false"/>
                <w:bCs w:val="false"/>
                <w:sz w:val="18"/>
                <w:szCs w:val="18"/>
              </w:rPr>
              <w:t xml:space="preserve">SLA Notice-and-Action: 24h Hochrisiko / 72h Standard</w:t>
            </w:r>
          </w:p>
        </w:tc>
        <w:tc>
          <w:tcPr>
            <w:tcW w:type="dxa" w:w="2000"/>
          </w:tcPr>
          <w:p>
            <w:r>
              <w:rPr>
                <w:b w:val="false"/>
                <w:bCs w:val="false"/>
                <w:sz w:val="18"/>
                <w:szCs w:val="18"/>
              </w:rPr>
              <w:t xml:space="preserve">Art. 16, 35</w:t>
            </w:r>
          </w:p>
        </w:tc>
        <w:tc>
          <w:tcPr>
            <w:tcW w:type="dxa" w:w="2000"/>
          </w:tcPr>
          <w:p>
            <w:r>
              <w:rPr>
                <w:b w:val="false"/>
                <w:bCs w:val="false"/>
                <w:sz w:val="18"/>
                <w:szCs w:val="18"/>
              </w:rPr>
              <w:t xml:space="preserve">15.05.2026</w:t>
            </w:r>
          </w:p>
        </w:tc>
        <w:tc>
          <w:tcPr>
            <w:tcW w:type="dxa" w:w="2000"/>
          </w:tcPr>
          <w:p>
            <w:r>
              <w:rPr>
                <w:b w:val="false"/>
                <w:bCs w:val="false"/>
                <w:sz w:val="18"/>
                <w:szCs w:val="18"/>
              </w:rPr>
              <w:t xml:space="preserve">T&amp;S (Fiedler-Möller)</w:t>
            </w:r>
          </w:p>
        </w:tc>
      </w:tr>
      <w:tr>
        <w:tc>
          <w:tcPr>
            <w:tcW w:type="dxa" w:w="2000"/>
          </w:tcPr>
          <w:p>
            <w:r>
              <w:rPr>
                <w:b w:val="false"/>
                <w:bCs w:val="false"/>
                <w:sz w:val="18"/>
                <w:szCs w:val="18"/>
              </w:rPr>
              <w:t xml:space="preserve">2</w:t>
            </w:r>
          </w:p>
        </w:tc>
        <w:tc>
          <w:tcPr>
            <w:tcW w:type="dxa" w:w="2000"/>
          </w:tcPr>
          <w:p>
            <w:r>
              <w:rPr>
                <w:b w:val="false"/>
                <w:bCs w:val="false"/>
                <w:sz w:val="18"/>
                <w:szCs w:val="18"/>
              </w:rPr>
              <w:t xml:space="preserve">+30 Trust &amp; Safety Stellen ausschreiben und besetzen</w:t>
            </w:r>
          </w:p>
        </w:tc>
        <w:tc>
          <w:tcPr>
            <w:tcW w:type="dxa" w:w="2000"/>
          </w:tcPr>
          <w:p>
            <w:r>
              <w:rPr>
                <w:b w:val="false"/>
                <w:bCs w:val="false"/>
                <w:sz w:val="18"/>
                <w:szCs w:val="18"/>
              </w:rPr>
              <w:t xml:space="preserve">Art. 35 Abs. 1 lit. k</w:t>
            </w:r>
          </w:p>
        </w:tc>
        <w:tc>
          <w:tcPr>
            <w:tcW w:type="dxa" w:w="2000"/>
          </w:tcPr>
          <w:p>
            <w:r>
              <w:rPr>
                <w:b w:val="false"/>
                <w:bCs w:val="false"/>
                <w:sz w:val="18"/>
                <w:szCs w:val="18"/>
              </w:rPr>
              <w:t xml:space="preserve">01.08.2026</w:t>
            </w:r>
          </w:p>
        </w:tc>
        <w:tc>
          <w:tcPr>
            <w:tcW w:type="dxa" w:w="2000"/>
          </w:tcPr>
          <w:p>
            <w:r>
              <w:rPr>
                <w:b w:val="false"/>
                <w:bCs w:val="false"/>
                <w:sz w:val="18"/>
                <w:szCs w:val="18"/>
              </w:rPr>
              <w:t xml:space="preserve">CEO / HR</w:t>
            </w:r>
          </w:p>
        </w:tc>
      </w:tr>
      <w:tr>
        <w:tc>
          <w:tcPr>
            <w:tcW w:type="dxa" w:w="2000"/>
          </w:tcPr>
          <w:p>
            <w:r>
              <w:rPr>
                <w:b w:val="false"/>
                <w:bCs w:val="false"/>
                <w:sz w:val="18"/>
                <w:szCs w:val="18"/>
              </w:rPr>
              <w:t xml:space="preserve">3</w:t>
            </w:r>
          </w:p>
        </w:tc>
        <w:tc>
          <w:tcPr>
            <w:tcW w:type="dxa" w:w="2000"/>
          </w:tcPr>
          <w:p>
            <w:r>
              <w:rPr>
                <w:b w:val="false"/>
                <w:bCs w:val="false"/>
                <w:sz w:val="18"/>
                <w:szCs w:val="18"/>
              </w:rPr>
              <w:t xml:space="preserve">KI-Klassifikation Hassrede implementieren</w:t>
            </w:r>
          </w:p>
        </w:tc>
        <w:tc>
          <w:tcPr>
            <w:tcW w:type="dxa" w:w="2000"/>
          </w:tcPr>
          <w:p>
            <w:r>
              <w:rPr>
                <w:b w:val="false"/>
                <w:bCs w:val="false"/>
                <w:sz w:val="18"/>
                <w:szCs w:val="18"/>
              </w:rPr>
              <w:t xml:space="preserve">Art. 16, 35</w:t>
            </w:r>
          </w:p>
        </w:tc>
        <w:tc>
          <w:tcPr>
            <w:tcW w:type="dxa" w:w="2000"/>
          </w:tcPr>
          <w:p>
            <w:r>
              <w:rPr>
                <w:b w:val="false"/>
                <w:bCs w:val="false"/>
                <w:sz w:val="18"/>
                <w:szCs w:val="18"/>
              </w:rPr>
              <w:t xml:space="preserve">15.06.2026</w:t>
            </w:r>
          </w:p>
        </w:tc>
        <w:tc>
          <w:tcPr>
            <w:tcW w:type="dxa" w:w="2000"/>
          </w:tcPr>
          <w:p>
            <w:r>
              <w:rPr>
                <w:b w:val="false"/>
                <w:bCs w:val="false"/>
                <w:sz w:val="18"/>
                <w:szCs w:val="18"/>
              </w:rPr>
              <w:t xml:space="preserve">CTO Schröder</w:t>
            </w:r>
          </w:p>
        </w:tc>
      </w:tr>
      <w:tr>
        <w:tc>
          <w:tcPr>
            <w:tcW w:type="dxa" w:w="2000"/>
          </w:tcPr>
          <w:p>
            <w:r>
              <w:rPr>
                <w:b w:val="false"/>
                <w:bCs w:val="false"/>
                <w:sz w:val="18"/>
                <w:szCs w:val="18"/>
              </w:rPr>
              <w:t xml:space="preserve">4</w:t>
            </w:r>
          </w:p>
        </w:tc>
        <w:tc>
          <w:tcPr>
            <w:tcW w:type="dxa" w:w="2000"/>
          </w:tcPr>
          <w:p>
            <w:r>
              <w:rPr>
                <w:b w:val="false"/>
                <w:bCs w:val="false"/>
                <w:sz w:val="18"/>
                <w:szCs w:val="18"/>
              </w:rPr>
              <w:t xml:space="preserve">Non-Profiling-Option 'Halmweise Chronologisch' live</w:t>
            </w:r>
          </w:p>
        </w:tc>
        <w:tc>
          <w:tcPr>
            <w:tcW w:type="dxa" w:w="2000"/>
          </w:tcPr>
          <w:p>
            <w:r>
              <w:rPr>
                <w:b w:val="false"/>
                <w:bCs w:val="false"/>
                <w:sz w:val="18"/>
                <w:szCs w:val="18"/>
              </w:rPr>
              <w:t xml:space="preserve">Art. 27, 35</w:t>
            </w:r>
          </w:p>
        </w:tc>
        <w:tc>
          <w:tcPr>
            <w:tcW w:type="dxa" w:w="2000"/>
          </w:tcPr>
          <w:p>
            <w:r>
              <w:rPr>
                <w:b w:val="false"/>
                <w:bCs w:val="false"/>
                <w:sz w:val="18"/>
                <w:szCs w:val="18"/>
              </w:rPr>
              <w:t xml:space="preserve">15.06.2026</w:t>
            </w:r>
          </w:p>
        </w:tc>
        <w:tc>
          <w:tcPr>
            <w:tcW w:type="dxa" w:w="2000"/>
          </w:tcPr>
          <w:p>
            <w:r>
              <w:rPr>
                <w:b w:val="false"/>
                <w:bCs w:val="false"/>
                <w:sz w:val="18"/>
                <w:szCs w:val="18"/>
              </w:rPr>
              <w:t xml:space="preserve">CTO Schröder</w:t>
            </w:r>
          </w:p>
        </w:tc>
      </w:tr>
      <w:tr>
        <w:tc>
          <w:tcPr>
            <w:tcW w:type="dxa" w:w="2000"/>
          </w:tcPr>
          <w:p>
            <w:r>
              <w:rPr>
                <w:b w:val="false"/>
                <w:bCs w:val="false"/>
                <w:sz w:val="18"/>
                <w:szCs w:val="18"/>
              </w:rPr>
              <w:t xml:space="preserve">5</w:t>
            </w:r>
          </w:p>
        </w:tc>
        <w:tc>
          <w:tcPr>
            <w:tcW w:type="dxa" w:w="2000"/>
          </w:tcPr>
          <w:p>
            <w:r>
              <w:rPr>
                <w:b w:val="false"/>
                <w:bCs w:val="false"/>
                <w:sz w:val="18"/>
                <w:szCs w:val="18"/>
              </w:rPr>
              <w:t xml:space="preserve">Repository-Rückfüllung Jan-Sep 2025 abschließen</w:t>
            </w:r>
          </w:p>
        </w:tc>
        <w:tc>
          <w:tcPr>
            <w:tcW w:type="dxa" w:w="2000"/>
          </w:tcPr>
          <w:p>
            <w:r>
              <w:rPr>
                <w:b w:val="false"/>
                <w:bCs w:val="false"/>
                <w:sz w:val="18"/>
                <w:szCs w:val="18"/>
              </w:rPr>
              <w:t xml:space="preserve">Art. 39</w:t>
            </w:r>
          </w:p>
        </w:tc>
        <w:tc>
          <w:tcPr>
            <w:tcW w:type="dxa" w:w="2000"/>
          </w:tcPr>
          <w:p>
            <w:r>
              <w:rPr>
                <w:b w:val="false"/>
                <w:bCs w:val="false"/>
                <w:sz w:val="18"/>
                <w:szCs w:val="18"/>
              </w:rPr>
              <w:t xml:space="preserve">15.05.2026</w:t>
            </w:r>
          </w:p>
        </w:tc>
        <w:tc>
          <w:tcPr>
            <w:tcW w:type="dxa" w:w="2000"/>
          </w:tcPr>
          <w:p>
            <w:r>
              <w:rPr>
                <w:b w:val="false"/>
                <w:bCs w:val="false"/>
                <w:sz w:val="18"/>
                <w:szCs w:val="18"/>
              </w:rPr>
              <w:t xml:space="preserve">Adtech / Legal</w:t>
            </w:r>
          </w:p>
        </w:tc>
      </w:tr>
      <w:tr>
        <w:tc>
          <w:tcPr>
            <w:tcW w:type="dxa" w:w="2000"/>
          </w:tcPr>
          <w:p>
            <w:r>
              <w:rPr>
                <w:b w:val="false"/>
                <w:bCs w:val="false"/>
                <w:sz w:val="18"/>
                <w:szCs w:val="18"/>
              </w:rPr>
              <w:t xml:space="preserve">6</w:t>
            </w:r>
          </w:p>
        </w:tc>
        <w:tc>
          <w:tcPr>
            <w:tcW w:type="dxa" w:w="2000"/>
          </w:tcPr>
          <w:p>
            <w:r>
              <w:rPr>
                <w:b w:val="false"/>
                <w:bCs w:val="false"/>
                <w:sz w:val="18"/>
                <w:szCs w:val="18"/>
              </w:rPr>
              <w:t xml:space="preserve">API für Forscher im Repository implementieren</w:t>
            </w:r>
          </w:p>
        </w:tc>
        <w:tc>
          <w:tcPr>
            <w:tcW w:type="dxa" w:w="2000"/>
          </w:tcPr>
          <w:p>
            <w:r>
              <w:rPr>
                <w:b w:val="false"/>
                <w:bCs w:val="false"/>
                <w:sz w:val="18"/>
                <w:szCs w:val="18"/>
              </w:rPr>
              <w:t xml:space="preserve">Art. 39, 40</w:t>
            </w:r>
          </w:p>
        </w:tc>
        <w:tc>
          <w:tcPr>
            <w:tcW w:type="dxa" w:w="2000"/>
          </w:tcPr>
          <w:p>
            <w:r>
              <w:rPr>
                <w:b w:val="false"/>
                <w:bCs w:val="false"/>
                <w:sz w:val="18"/>
                <w:szCs w:val="18"/>
              </w:rPr>
              <w:t xml:space="preserve">01.07.2026</w:t>
            </w:r>
          </w:p>
        </w:tc>
        <w:tc>
          <w:tcPr>
            <w:tcW w:type="dxa" w:w="2000"/>
          </w:tcPr>
          <w:p>
            <w:r>
              <w:rPr>
                <w:b w:val="false"/>
                <w:bCs w:val="false"/>
                <w:sz w:val="18"/>
                <w:szCs w:val="18"/>
              </w:rPr>
              <w:t xml:space="preserve">Tech / Legal</w:t>
            </w:r>
          </w:p>
        </w:tc>
      </w:tr>
      <w:tr>
        <w:tc>
          <w:tcPr>
            <w:tcW w:type="dxa" w:w="2000"/>
          </w:tcPr>
          <w:p>
            <w:r>
              <w:rPr>
                <w:b w:val="false"/>
                <w:bCs w:val="false"/>
                <w:sz w:val="18"/>
                <w:szCs w:val="18"/>
              </w:rPr>
              <w:t xml:space="preserve">7</w:t>
            </w:r>
          </w:p>
        </w:tc>
        <w:tc>
          <w:tcPr>
            <w:tcW w:type="dxa" w:w="2000"/>
          </w:tcPr>
          <w:p>
            <w:r>
              <w:rPr>
                <w:b w:val="false"/>
                <w:bCs w:val="false"/>
                <w:sz w:val="18"/>
                <w:szCs w:val="18"/>
              </w:rPr>
              <w:t xml:space="preserve">Altersverifikationskonzept erarbeiten</w:t>
            </w:r>
          </w:p>
        </w:tc>
        <w:tc>
          <w:tcPr>
            <w:tcW w:type="dxa" w:w="2000"/>
          </w:tcPr>
          <w:p>
            <w:r>
              <w:rPr>
                <w:b w:val="false"/>
                <w:bCs w:val="false"/>
                <w:sz w:val="18"/>
                <w:szCs w:val="18"/>
              </w:rPr>
              <w:t xml:space="preserve">Art. 35 Abs. 1 lit. f</w:t>
            </w:r>
          </w:p>
        </w:tc>
        <w:tc>
          <w:tcPr>
            <w:tcW w:type="dxa" w:w="2000"/>
          </w:tcPr>
          <w:p>
            <w:r>
              <w:rPr>
                <w:b w:val="false"/>
                <w:bCs w:val="false"/>
                <w:sz w:val="18"/>
                <w:szCs w:val="18"/>
              </w:rPr>
              <w:t xml:space="preserve">30.05.2026</w:t>
            </w:r>
          </w:p>
        </w:tc>
        <w:tc>
          <w:tcPr>
            <w:tcW w:type="dxa" w:w="2000"/>
          </w:tcPr>
          <w:p>
            <w:r>
              <w:rPr>
                <w:b w:val="false"/>
                <w:bCs w:val="false"/>
                <w:sz w:val="18"/>
                <w:szCs w:val="18"/>
              </w:rPr>
              <w:t xml:space="preserve">DPO / Legal</w:t>
            </w:r>
          </w:p>
        </w:tc>
      </w:tr>
      <w:tr>
        <w:tc>
          <w:tcPr>
            <w:tcW w:type="dxa" w:w="2000"/>
          </w:tcPr>
          <w:p>
            <w:r>
              <w:rPr>
                <w:b w:val="false"/>
                <w:bCs w:val="false"/>
                <w:sz w:val="18"/>
                <w:szCs w:val="18"/>
              </w:rPr>
              <w:t xml:space="preserve">8</w:t>
            </w:r>
          </w:p>
        </w:tc>
        <w:tc>
          <w:tcPr>
            <w:tcW w:type="dxa" w:w="2000"/>
          </w:tcPr>
          <w:p>
            <w:r>
              <w:rPr>
                <w:b w:val="false"/>
                <w:bCs w:val="false"/>
                <w:sz w:val="18"/>
                <w:szCs w:val="18"/>
              </w:rPr>
              <w:t xml:space="preserve">Crisis Response Team einrichten + Plan erstellen</w:t>
            </w:r>
          </w:p>
        </w:tc>
        <w:tc>
          <w:tcPr>
            <w:tcW w:type="dxa" w:w="2000"/>
          </w:tcPr>
          <w:p>
            <w:r>
              <w:rPr>
                <w:b w:val="false"/>
                <w:bCs w:val="false"/>
                <w:sz w:val="18"/>
                <w:szCs w:val="18"/>
              </w:rPr>
              <w:t xml:space="preserve">Art. 36, 35</w:t>
            </w:r>
          </w:p>
        </w:tc>
        <w:tc>
          <w:tcPr>
            <w:tcW w:type="dxa" w:w="2000"/>
          </w:tcPr>
          <w:p>
            <w:r>
              <w:rPr>
                <w:b w:val="false"/>
                <w:bCs w:val="false"/>
                <w:sz w:val="18"/>
                <w:szCs w:val="18"/>
              </w:rPr>
              <w:t xml:space="preserve">01.06.2026</w:t>
            </w:r>
          </w:p>
        </w:tc>
        <w:tc>
          <w:tcPr>
            <w:tcW w:type="dxa" w:w="2000"/>
          </w:tcPr>
          <w:p>
            <w:r>
              <w:rPr>
                <w:b w:val="false"/>
                <w:bCs w:val="false"/>
                <w:sz w:val="18"/>
                <w:szCs w:val="18"/>
              </w:rPr>
              <w:t xml:space="preserve">CEO / T&amp;S</w:t>
            </w:r>
          </w:p>
        </w:tc>
      </w:tr>
      <w:tr>
        <w:tc>
          <w:tcPr>
            <w:tcW w:type="dxa" w:w="2000"/>
          </w:tcPr>
          <w:p>
            <w:r>
              <w:rPr>
                <w:b w:val="false"/>
                <w:bCs w:val="false"/>
                <w:sz w:val="18"/>
                <w:szCs w:val="18"/>
              </w:rPr>
              <w:t xml:space="preserve">9</w:t>
            </w:r>
          </w:p>
        </w:tc>
        <w:tc>
          <w:tcPr>
            <w:tcW w:type="dxa" w:w="2000"/>
          </w:tcPr>
          <w:p>
            <w:r>
              <w:rPr>
                <w:b w:val="false"/>
                <w:bCs w:val="false"/>
                <w:sz w:val="18"/>
                <w:szCs w:val="18"/>
              </w:rPr>
              <w:t xml:space="preserve">Interne Beschwerdestelle Art. 20 DSA-konform machen</w:t>
            </w:r>
          </w:p>
        </w:tc>
        <w:tc>
          <w:tcPr>
            <w:tcW w:type="dxa" w:w="2000"/>
          </w:tcPr>
          <w:p>
            <w:r>
              <w:rPr>
                <w:b w:val="false"/>
                <w:bCs w:val="false"/>
                <w:sz w:val="18"/>
                <w:szCs w:val="18"/>
              </w:rPr>
              <w:t xml:space="preserve">Art. 20</w:t>
            </w:r>
          </w:p>
        </w:tc>
        <w:tc>
          <w:tcPr>
            <w:tcW w:type="dxa" w:w="2000"/>
          </w:tcPr>
          <w:p>
            <w:r>
              <w:rPr>
                <w:b w:val="false"/>
                <w:bCs w:val="false"/>
                <w:sz w:val="18"/>
                <w:szCs w:val="18"/>
              </w:rPr>
              <w:t xml:space="preserve">14.07.2026</w:t>
            </w:r>
          </w:p>
        </w:tc>
        <w:tc>
          <w:tcPr>
            <w:tcW w:type="dxa" w:w="2000"/>
          </w:tcPr>
          <w:p>
            <w:r>
              <w:rPr>
                <w:b w:val="false"/>
                <w:bCs w:val="false"/>
                <w:sz w:val="18"/>
                <w:szCs w:val="18"/>
              </w:rPr>
              <w:t xml:space="preserve">Legal</w:t>
            </w:r>
          </w:p>
        </w:tc>
      </w:tr>
      <w:tr>
        <w:tc>
          <w:tcPr>
            <w:tcW w:type="dxa" w:w="2000"/>
          </w:tcPr>
          <w:p>
            <w:r>
              <w:rPr>
                <w:b w:val="false"/>
                <w:bCs w:val="false"/>
                <w:sz w:val="18"/>
                <w:szCs w:val="18"/>
              </w:rPr>
              <w:t xml:space="preserve">10</w:t>
            </w:r>
          </w:p>
        </w:tc>
        <w:tc>
          <w:tcPr>
            <w:tcW w:type="dxa" w:w="2000"/>
          </w:tcPr>
          <w:p>
            <w:r>
              <w:rPr>
                <w:b w:val="false"/>
                <w:bCs w:val="false"/>
                <w:sz w:val="18"/>
                <w:szCs w:val="18"/>
              </w:rPr>
              <w:t xml:space="preserve">Head of DSA Compliance einstellen</w:t>
            </w:r>
          </w:p>
        </w:tc>
        <w:tc>
          <w:tcPr>
            <w:tcW w:type="dxa" w:w="2000"/>
          </w:tcPr>
          <w:p>
            <w:r>
              <w:rPr>
                <w:b w:val="false"/>
                <w:bCs w:val="false"/>
                <w:sz w:val="18"/>
                <w:szCs w:val="18"/>
              </w:rPr>
              <w:t xml:space="preserve">Art. 34-43</w:t>
            </w:r>
          </w:p>
        </w:tc>
        <w:tc>
          <w:tcPr>
            <w:tcW w:type="dxa" w:w="2000"/>
          </w:tcPr>
          <w:p>
            <w:r>
              <w:rPr>
                <w:b w:val="false"/>
                <w:bCs w:val="false"/>
                <w:sz w:val="18"/>
                <w:szCs w:val="18"/>
              </w:rPr>
              <w:t xml:space="preserve">01.06.2026</w:t>
            </w:r>
          </w:p>
        </w:tc>
        <w:tc>
          <w:tcPr>
            <w:tcW w:type="dxa" w:w="2000"/>
          </w:tcPr>
          <w:p>
            <w:r>
              <w:rPr>
                <w:b w:val="false"/>
                <w:bCs w:val="false"/>
                <w:sz w:val="18"/>
                <w:szCs w:val="18"/>
              </w:rPr>
              <w:t xml:space="preserve">CEO / HR</w:t>
            </w:r>
          </w:p>
        </w:tc>
      </w:tr>
    </w:tbl>
    <w:p>
      <w:pPr>
        <w:pStyle w:val="Heading1"/>
        <w:spacing w:after="200" w:before="400"/>
      </w:pPr>
      <w:r>
        <w:rPr>
          <w:b/>
          <w:bCs/>
        </w:rPr>
        <w:t xml:space="preserve">III. Detailbeschreibung der Maßnahmen</w:t>
      </w:r>
    </w:p>
    <w:p>
      <w:pPr>
        <w:pStyle w:val="Heading2"/>
        <w:spacing w:after="150" w:before="200"/>
      </w:pPr>
      <w:r>
        <w:rPr>
          <w:b/>
          <w:bCs/>
        </w:rPr>
        <w:t xml:space="preserve">Maßnahme 1 und 2: Notice-and-Action-Reform</w:t>
      </w:r>
    </w:p>
    <w:p>
      <w:pPr>
        <w:spacing w:after="200"/>
      </w:pPr>
      <w:r>
        <w:t xml:space="preserve">Das bestehende Notice-and-Action-System wird durch drei Interventionen reformiert: Erstens wird ein verbindliches internes SLA eingeführt, das Hochrisiko-Inhalte (insbesondere Volksverhetzung nach § 130 StGB, CSAM) auf eine maximale Bearbeitungszeit von 24 Stunden begrenzt. Zweitens werden 30 zusätzliche Trust &amp; Safety Mitarbeiter eingestellt, davon 10 mit spezifischer Expertise in Hassrede-Erkennung (Schwerpunkt Deutsch, Polnisch, Türkisch, Arabisch). Drittens wird ein KI-gestütztes Vorsortierungssystem ('HalmMod-AI') entwickelt, das eingehende Meldungen innerhalb von 60 Sekunden nach Risikostufe klassifiziert.</w:t>
      </w:r>
    </w:p>
    <w:p>
      <w:pPr>
        <w:pStyle w:val="Heading2"/>
        <w:spacing w:after="150" w:before="200"/>
      </w:pPr>
      <w:r>
        <w:rPr>
          <w:b/>
          <w:bCs/>
        </w:rPr>
        <w:t xml:space="preserve">Maßnahme 4: Non-Profiling-Option</w:t>
      </w:r>
    </w:p>
    <w:p>
      <w:pPr>
        <w:spacing w:after="200"/>
      </w:pPr>
      <w:r>
        <w:t xml:space="preserve">Die chronologische Timeline 'Halmweise Chronologisch' wird als vollwertige Alternative zum personalisierten HalmRank-Feed implementiert. Nutzer können die Option in den Feed-Einstellungen aktivieren. Die Einstellung ist persistent (session-übergreifend gespeichert). Technisch basiert die Option auf einem reinen Zeitstempel-Ranking ohne personenbezogene Signale. Skalierung: alle EU-Nutzer (51 Mio.) ab 15. Juni 2026.</w:t>
      </w:r>
    </w:p>
    <w:p>
      <w:pPr>
        <w:pStyle w:val="Heading1"/>
        <w:spacing w:after="200" w:before="300"/>
      </w:pPr>
      <w:r>
        <w:rPr>
          <w:b/>
          <w:bCs/>
        </w:rPr>
        <w:t xml:space="preserve">IV. Budget und Ressourcen</w:t>
      </w:r>
    </w:p>
    <w:tbl>
      <w:tblPr>
        <w:tblW w:type="dxa" w:w="8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3333"/>
          </w:tcPr>
          <w:p>
            <w:r>
              <w:rPr>
                <w:b/>
                <w:bCs/>
                <w:sz w:val="20"/>
                <w:szCs w:val="20"/>
              </w:rPr>
              <w:t xml:space="preserve">Maßnahme</w:t>
            </w:r>
          </w:p>
        </w:tc>
        <w:tc>
          <w:tcPr>
            <w:tcW w:type="dxa" w:w="3333"/>
          </w:tcPr>
          <w:p>
            <w:r>
              <w:rPr>
                <w:b/>
                <w:bCs/>
                <w:sz w:val="20"/>
                <w:szCs w:val="20"/>
              </w:rPr>
              <w:t xml:space="preserve">Budget (EUR)</w:t>
            </w:r>
          </w:p>
        </w:tc>
        <w:tc>
          <w:tcPr>
            <w:tcW w:type="dxa" w:w="3333"/>
          </w:tcPr>
          <w:p>
            <w:r>
              <w:rPr>
                <w:b/>
                <w:bCs/>
                <w:sz w:val="20"/>
                <w:szCs w:val="20"/>
              </w:rPr>
              <w:t xml:space="preserve">Finanzierungsquelle</w:t>
            </w:r>
          </w:p>
        </w:tc>
      </w:tr>
      <w:tr>
        <w:tc>
          <w:tcPr>
            <w:tcW w:type="dxa" w:w="3333"/>
          </w:tcPr>
          <w:p>
            <w:r>
              <w:rPr>
                <w:b w:val="false"/>
                <w:bCs w:val="false"/>
                <w:sz w:val="18"/>
                <w:szCs w:val="18"/>
              </w:rPr>
              <w:t xml:space="preserve">Personalaufbau T&amp;S (30 Stellen)</w:t>
            </w:r>
          </w:p>
        </w:tc>
        <w:tc>
          <w:tcPr>
            <w:tcW w:type="dxa" w:w="3333"/>
          </w:tcPr>
          <w:p>
            <w:r>
              <w:rPr>
                <w:b w:val="false"/>
                <w:bCs w:val="false"/>
                <w:sz w:val="18"/>
                <w:szCs w:val="18"/>
              </w:rPr>
              <w:t xml:space="preserve">2.400.000</w:t>
            </w:r>
          </w:p>
        </w:tc>
        <w:tc>
          <w:tcPr>
            <w:tcW w:type="dxa" w:w="3333"/>
          </w:tcPr>
          <w:p>
            <w:r>
              <w:rPr>
                <w:b w:val="false"/>
                <w:bCs w:val="false"/>
                <w:sz w:val="18"/>
                <w:szCs w:val="18"/>
              </w:rPr>
              <w:t xml:space="preserve">Betriebsbudget 2026</w:t>
            </w:r>
          </w:p>
        </w:tc>
      </w:tr>
      <w:tr>
        <w:tc>
          <w:tcPr>
            <w:tcW w:type="dxa" w:w="3333"/>
          </w:tcPr>
          <w:p>
            <w:r>
              <w:rPr>
                <w:b w:val="false"/>
                <w:bCs w:val="false"/>
                <w:sz w:val="18"/>
                <w:szCs w:val="18"/>
              </w:rPr>
              <w:t xml:space="preserve">KI-Moderationssystem (HalmMod-AI)</w:t>
            </w:r>
          </w:p>
        </w:tc>
        <w:tc>
          <w:tcPr>
            <w:tcW w:type="dxa" w:w="3333"/>
          </w:tcPr>
          <w:p>
            <w:r>
              <w:rPr>
                <w:b w:val="false"/>
                <w:bCs w:val="false"/>
                <w:sz w:val="18"/>
                <w:szCs w:val="18"/>
              </w:rPr>
              <w:t xml:space="preserve">1.500.000</w:t>
            </w:r>
          </w:p>
        </w:tc>
        <w:tc>
          <w:tcPr>
            <w:tcW w:type="dxa" w:w="3333"/>
          </w:tcPr>
          <w:p>
            <w:r>
              <w:rPr>
                <w:b w:val="false"/>
                <w:bCs w:val="false"/>
                <w:sz w:val="18"/>
                <w:szCs w:val="18"/>
              </w:rPr>
              <w:t xml:space="preserve">Investitionsbudget 2026</w:t>
            </w:r>
          </w:p>
        </w:tc>
      </w:tr>
      <w:tr>
        <w:tc>
          <w:tcPr>
            <w:tcW w:type="dxa" w:w="3333"/>
          </w:tcPr>
          <w:p>
            <w:r>
              <w:rPr>
                <w:b w:val="false"/>
                <w:bCs w:val="false"/>
                <w:sz w:val="18"/>
                <w:szCs w:val="18"/>
              </w:rPr>
              <w:t xml:space="preserve">Non-Profiling-Option (Tech)</w:t>
            </w:r>
          </w:p>
        </w:tc>
        <w:tc>
          <w:tcPr>
            <w:tcW w:type="dxa" w:w="3333"/>
          </w:tcPr>
          <w:p>
            <w:r>
              <w:rPr>
                <w:b w:val="false"/>
                <w:bCs w:val="false"/>
                <w:sz w:val="18"/>
                <w:szCs w:val="18"/>
              </w:rPr>
              <w:t xml:space="preserve">300.000</w:t>
            </w:r>
          </w:p>
        </w:tc>
        <w:tc>
          <w:tcPr>
            <w:tcW w:type="dxa" w:w="3333"/>
          </w:tcPr>
          <w:p>
            <w:r>
              <w:rPr>
                <w:b w:val="false"/>
                <w:bCs w:val="false"/>
                <w:sz w:val="18"/>
                <w:szCs w:val="18"/>
              </w:rPr>
              <w:t xml:space="preserve">Betriebsbudget 2026</w:t>
            </w:r>
          </w:p>
        </w:tc>
      </w:tr>
      <w:tr>
        <w:tc>
          <w:tcPr>
            <w:tcW w:type="dxa" w:w="3333"/>
          </w:tcPr>
          <w:p>
            <w:r>
              <w:rPr>
                <w:b w:val="false"/>
                <w:bCs w:val="false"/>
                <w:sz w:val="18"/>
                <w:szCs w:val="18"/>
              </w:rPr>
              <w:t xml:space="preserve">Repository-Rückfüllung + Automatisierung</w:t>
            </w:r>
          </w:p>
        </w:tc>
        <w:tc>
          <w:tcPr>
            <w:tcW w:type="dxa" w:w="3333"/>
          </w:tcPr>
          <w:p>
            <w:r>
              <w:rPr>
                <w:b w:val="false"/>
                <w:bCs w:val="false"/>
                <w:sz w:val="18"/>
                <w:szCs w:val="18"/>
              </w:rPr>
              <w:t xml:space="preserve">150.000</w:t>
            </w:r>
          </w:p>
        </w:tc>
        <w:tc>
          <w:tcPr>
            <w:tcW w:type="dxa" w:w="3333"/>
          </w:tcPr>
          <w:p>
            <w:r>
              <w:rPr>
                <w:b w:val="false"/>
                <w:bCs w:val="false"/>
                <w:sz w:val="18"/>
                <w:szCs w:val="18"/>
              </w:rPr>
              <w:t xml:space="preserve">Betriebsbudget 2026</w:t>
            </w:r>
          </w:p>
        </w:tc>
      </w:tr>
      <w:tr>
        <w:tc>
          <w:tcPr>
            <w:tcW w:type="dxa" w:w="3333"/>
          </w:tcPr>
          <w:p>
            <w:r>
              <w:rPr>
                <w:b w:val="false"/>
                <w:bCs w:val="false"/>
                <w:sz w:val="18"/>
                <w:szCs w:val="18"/>
              </w:rPr>
              <w:t xml:space="preserve">Crisis Response Setup</w:t>
            </w:r>
          </w:p>
        </w:tc>
        <w:tc>
          <w:tcPr>
            <w:tcW w:type="dxa" w:w="3333"/>
          </w:tcPr>
          <w:p>
            <w:r>
              <w:rPr>
                <w:b w:val="false"/>
                <w:bCs w:val="false"/>
                <w:sz w:val="18"/>
                <w:szCs w:val="18"/>
              </w:rPr>
              <w:t xml:space="preserve">100.000</w:t>
            </w:r>
          </w:p>
        </w:tc>
        <w:tc>
          <w:tcPr>
            <w:tcW w:type="dxa" w:w="3333"/>
          </w:tcPr>
          <w:p>
            <w:r>
              <w:rPr>
                <w:b w:val="false"/>
                <w:bCs w:val="false"/>
                <w:sz w:val="18"/>
                <w:szCs w:val="18"/>
              </w:rPr>
              <w:t xml:space="preserve">Betriebsbudget 2026</w:t>
            </w:r>
          </w:p>
        </w:tc>
      </w:tr>
      <w:tr>
        <w:tc>
          <w:tcPr>
            <w:tcW w:type="dxa" w:w="3333"/>
          </w:tcPr>
          <w:p>
            <w:r>
              <w:rPr>
                <w:b w:val="false"/>
                <w:bCs w:val="false"/>
                <w:sz w:val="18"/>
                <w:szCs w:val="18"/>
              </w:rPr>
              <w:t xml:space="preserve">Schulungen und Trainings</w:t>
            </w:r>
          </w:p>
        </w:tc>
        <w:tc>
          <w:tcPr>
            <w:tcW w:type="dxa" w:w="3333"/>
          </w:tcPr>
          <w:p>
            <w:r>
              <w:rPr>
                <w:b w:val="false"/>
                <w:bCs w:val="false"/>
                <w:sz w:val="18"/>
                <w:szCs w:val="18"/>
              </w:rPr>
              <w:t xml:space="preserve">100.000</w:t>
            </w:r>
          </w:p>
        </w:tc>
        <w:tc>
          <w:tcPr>
            <w:tcW w:type="dxa" w:w="3333"/>
          </w:tcPr>
          <w:p>
            <w:r>
              <w:rPr>
                <w:b w:val="false"/>
                <w:bCs w:val="false"/>
                <w:sz w:val="18"/>
                <w:szCs w:val="18"/>
              </w:rPr>
              <w:t xml:space="preserve">Betriebsbudget 2026</w:t>
            </w:r>
          </w:p>
        </w:tc>
      </w:tr>
      <w:tr>
        <w:tc>
          <w:tcPr>
            <w:tcW w:type="dxa" w:w="3333"/>
          </w:tcPr>
          <w:p>
            <w:r>
              <w:rPr>
                <w:b w:val="false"/>
                <w:bCs w:val="false"/>
                <w:sz w:val="18"/>
                <w:szCs w:val="18"/>
              </w:rPr>
              <w:t xml:space="preserve">GESAMT</w:t>
            </w:r>
          </w:p>
        </w:tc>
        <w:tc>
          <w:tcPr>
            <w:tcW w:type="dxa" w:w="3333"/>
          </w:tcPr>
          <w:p>
            <w:r>
              <w:rPr>
                <w:b w:val="false"/>
                <w:bCs w:val="false"/>
                <w:sz w:val="18"/>
                <w:szCs w:val="18"/>
              </w:rPr>
              <w:t xml:space="preserve">4.550.000</w:t>
            </w:r>
          </w:p>
        </w:tc>
        <w:tc>
          <w:tcPr>
            <w:tcW w:type="dxa" w:w="3333"/>
          </w:tcPr>
          <w:p>
            <w:r>
              <w:rPr>
                <w:b w:val="false"/>
                <w:bCs w:val="false"/>
                <w:sz w:val="18"/>
                <w:szCs w:val="18"/>
              </w:rPr>
              <w:t xml:space="preserve">—</w:t>
            </w:r>
          </w:p>
        </w:tc>
      </w:tr>
    </w:tbl>
    <w:p>
      <w:pPr>
        <w:pStyle w:val="Heading1"/>
        <w:spacing w:after="200" w:before="400"/>
      </w:pPr>
      <w:r>
        <w:rPr>
          <w:b/>
          <w:bCs/>
        </w:rPr>
        <w:t xml:space="preserve">V. Verhältnismäßigkeit</w:t>
      </w:r>
    </w:p>
    <w:p>
      <w:pPr>
        <w:spacing w:after="200"/>
      </w:pPr>
      <w:r>
        <w:t xml:space="preserve">Das Gesamtinvestitionsvolumen von ca. 4,55 Mio. EUR entspricht ca. 0,87 % des Jahresumsatzes 2025 (520 Mio. EUR). Angesichts von 51 Mio. EU-Nutzern und dem systemischen Charakter der adressierten Risiken ist das Maßnahmenpaket im Sinne des Art. 35 Abs. 1 DSA verhältnismäßig.</w:t>
      </w:r>
    </w:p>
    <w:p>
      <w:pPr>
        <w:pStyle w:val="Heading1"/>
        <w:spacing w:after="200" w:before="300"/>
      </w:pPr>
      <w:r>
        <w:rPr>
          <w:b/>
          <w:bCs/>
        </w:rPr>
        <w:t xml:space="preserve">VI. Monitoring und Berichterstattung</w:t>
      </w:r>
    </w:p>
    <w:p>
      <w:pPr>
        <w:spacing w:after="300"/>
      </w:pPr>
      <w:r>
        <w:t xml:space="preserve">Der Fortschritt der Maßnahmenumsetzung wird durch den Head of DSA Compliance (sobald bestellt) monatlich der Geschäftsführung und dem Begleitausschuss berichtet. Monatliche Fortschrittsberichte werden der Bundesnetzagentur übermittelt (erstmals 31. Mai 2026). Der externe Auditor (PwC) überprüft die Umsetzung im Rahmen des Erstaudits bis 14. Juli 2026.</w:t>
      </w:r>
    </w:p>
    <w:p>
      <w:pPr>
        <w:spacing w:before="400"/>
      </w:pPr>
      <w:r>
        <w:rPr>
          <w:i/>
          <w:iCs/>
          <w:color w:val="7A7974"/>
          <w:sz w:val="18"/>
          <w:szCs w:val="18"/>
        </w:rPr>
        <w:t xml:space="preserve">Quellen: Verordnung (EU) 2022/2065 (DSA), EUR-Lex: https://eur-lex.europa.eu/legal-content/DE/TXT/?uri=CELEX%3A32022R2065 | § 130 StGB, dejure.org: https://dejure.org/gesetze/StGB/130.html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2026-05-30T18:11:03.874Z</dcterms:created>
  <dcterms:modified xsi:type="dcterms:W3CDTF">2026-05-30T18:11:03.874Z</dcterms:modified>
</cp:coreProperties>
</file>

<file path=docProps/custom.xml><?xml version="1.0" encoding="utf-8"?>
<Properties xmlns="http://schemas.openxmlformats.org/officeDocument/2006/custom-properties" xmlns:vt="http://schemas.openxmlformats.org/officeDocument/2006/docPropsVTypes"/>
</file>