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Title"/>
        <w:spacing w:after="200"/>
        <w:jc w:val="center"/>
      </w:pPr>
      <w:r>
        <w:t xml:space="preserve">STELLUNGNAHME</w:t>
      </w:r>
    </w:p>
    <w:p>
      <w:pPr>
        <w:spacing w:after="100"/>
        <w:jc w:val="center"/>
      </w:pPr>
      <w:r>
        <w:rPr>
          <w:b/>
          <w:bCs/>
        </w:rPr>
        <w:t xml:space="preserve">im Mahnverfahren der Bundesnetzagentur als Digital Services Coordinator</w:t>
      </w:r>
    </w:p>
    <w:p>
      <w:pPr>
        <w:spacing w:after="400"/>
        <w:jc w:val="center"/>
      </w:pPr>
      <w:r>
        <w:rPr>
          <w:b/>
          <w:bCs/>
        </w:rPr>
        <w:t xml:space="preserve">Az. BNetzA-DSC-2026-188</w:t>
      </w:r>
    </w:p>
    <w:p>
      <w:pPr>
        <w:spacing w:after="200"/>
      </w:pPr>
    </w:p>
    <w:p>
      <w:pPr>
        <w:spacing w:after="300"/>
      </w:pPr>
      <w:r>
        <w:t xml:space="preserve">An die
Bundesnetzagentur
Referat Digitale Dienste
Tulpenfeld 4
53113 Bonn
z.Hd. ORR Dr. Susanne Bauer-Kleist</w:t>
      </w:r>
    </w:p>
    <w:p>
      <w:pPr>
        <w:spacing w:after="200"/>
      </w:pPr>
      <w:r>
        <w:t xml:space="preserve">Berlin, 29. April 2026</w:t>
      </w:r>
    </w:p>
    <w:p>
      <w:pPr>
        <w:spacing w:after="300"/>
      </w:pPr>
      <w:r>
        <w:rPr>
          <w:b/>
          <w:bCs/>
        </w:rPr>
        <w:t xml:space="preserve">Betreff: Mahnverfahren Az. BNetzA-DSC-2026-188 — Körnerstrom Social GmbH / Halmweise.de — Stellungnahme gemäß Art. 51 DSA (EU) 2022/2065</w:t>
      </w:r>
    </w:p>
    <w:p>
      <w:pPr>
        <w:spacing w:after="200"/>
      </w:pPr>
      <w:r>
        <w:t xml:space="preserve">Sehr geehrte Frau Dr. Bauer-Kleist,</w:t>
      </w:r>
    </w:p>
    <w:p>
      <w:pPr>
        <w:spacing w:after="200"/>
      </w:pPr>
      <w:r>
        <w:t xml:space="preserve">wir zeigen an, dass wir die Körnerstrom Social GmbH, Torstraße 177, 10115 Berlin, in dem oben genannten Mahnverfahren rechtsanwaltlich vertreten. Eine Vollmacht liegt diesem Schreiben als Anlage bei.</w:t>
      </w:r>
    </w:p>
    <w:p>
      <w:pPr>
        <w:pStyle w:val="Heading1"/>
        <w:spacing w:after="200" w:before="300"/>
      </w:pPr>
      <w:r>
        <w:rPr>
          <w:b/>
          <w:bCs/>
          <w:sz w:val="24"/>
          <w:szCs w:val="24"/>
        </w:rPr>
        <w:t xml:space="preserve">I. Vorbemerkung</w:t>
      </w:r>
    </w:p>
    <w:p>
      <w:pPr>
        <w:spacing w:after="200"/>
      </w:pPr>
      <w:r>
        <w:t xml:space="preserve">Unsere Mandantin nimmt die im Mahnschreiben vom 02. April 2026 erhobenen Beanstandungen ernst und hat unmittelbar nach Eingang des Schreibens konkrete Abhilfemaßnahmen eingeleitet. Sie versteht die Bundesnetzagentur als konstruktiven Partner bei der Umsetzung des Digital Services Act und ist zu einem offenen Dialog über den Fortgang der Compliance-Umsetzung bereit.</w:t>
      </w:r>
    </w:p>
    <w:p>
      <w:pPr>
        <w:pStyle w:val="Heading1"/>
        <w:spacing w:after="200" w:before="300"/>
      </w:pPr>
      <w:r>
        <w:rPr>
          <w:b/>
          <w:bCs/>
          <w:sz w:val="24"/>
          <w:szCs w:val="24"/>
        </w:rPr>
        <w:t xml:space="preserve">II. Zu den einzelnen Beanstandungen</w:t>
      </w:r>
    </w:p>
    <w:p>
      <w:pPr>
        <w:pStyle w:val="Heading2"/>
        <w:spacing w:after="150" w:before="200"/>
      </w:pPr>
      <w:r>
        <w:rPr>
          <w:b/>
          <w:bCs/>
        </w:rPr>
        <w:t xml:space="preserve">1. Notice-and-Action-Verfahren (Art. 16 DSA)</w:t>
      </w:r>
    </w:p>
    <w:p>
      <w:pPr>
        <w:spacing w:after="150"/>
      </w:pPr>
      <w:r>
        <w:t xml:space="preserve">Unsere Mandantin erkennt an, dass die mediane Bearbeitungszeit von 11,3 Werktagen für Hassrede-Meldungen im Zeitraum Oktober 2025 bis Februar 2026 die Anforderungen des Art. 16 Abs. 6 DSA nicht erfüllt hat. Als Hauptursache wurde ein Personalengpass im Trust &amp; Safety Team identifiziert, der auf ein unvorhergesehenes Wachstum der Meldungsvolumina (+340 % gegenüber Vorjahr) zurückzuführen ist.</w:t>
      </w:r>
    </w:p>
    <w:p>
      <w:pPr>
        <w:spacing w:after="200"/>
      </w:pPr>
      <w:r>
        <w:t xml:space="preserve">Unsere Mandantin hat bereits folgende Abhilfemaßnahmen eingeleitet: (1) Ausschreibung von 30 zusätzlichen Trust &amp; Safety Stellen (Stellenausschreibung vom 25. April 2026, Anlage 2); (2) Implementierung eines KI-gestützten Vorsortierungssystems zur Priorisierung von Hochrisiko-Meldungen (Zeitplan: Fertigstellung bis 15. Juni 2026, Anlage 3); (3) Einführung eines internen SLA mit Bearbeitungszeiten von maximal 24 Stunden für Hochrisiko-Inhalte und 72 Stunden für Standardfälle.</w:t>
      </w:r>
    </w:p>
    <w:p>
      <w:pPr>
        <w:pStyle w:val="Heading2"/>
        <w:spacing w:after="150" w:before="200"/>
      </w:pPr>
      <w:r>
        <w:rPr>
          <w:b/>
          <w:bCs/>
        </w:rPr>
        <w:t xml:space="preserve">2. Empfehlungsalgorithmus / Non-Profiling-Option (Art. 27 DSA)</w:t>
      </w:r>
    </w:p>
    <w:p>
      <w:pPr>
        <w:spacing w:after="200"/>
      </w:pPr>
      <w:r>
        <w:t xml:space="preserve">Unsere Mandantin erkennt an, dass zum Zeitpunkt der VLOP-Designation (14. März 2026) eine profilierungsfreie Alternative zum Empfehlungsalgorithmus HalmRank noch nicht vorhanden war. Die technische Implementierung der chronologischen Timeline ('Halmweise Chronologisch') wurde am 20. April 2026 begonnen. Der geplante Rollout für alle EU-Nutzer ist für den 15. Juni 2026 vorgesehen (Zeitplan Anlage 4).</w:t>
      </w:r>
    </w:p>
    <w:p>
      <w:pPr>
        <w:pStyle w:val="Heading2"/>
        <w:spacing w:after="150" w:before="200"/>
      </w:pPr>
      <w:r>
        <w:rPr>
          <w:b/>
          <w:bCs/>
        </w:rPr>
        <w:t xml:space="preserve">3. Werbeanzeigen-Repository (Art. 39 DSA)</w:t>
      </w:r>
    </w:p>
    <w:p>
      <w:pPr>
        <w:spacing w:after="200"/>
      </w:pPr>
      <w:r>
        <w:t xml:space="preserve">Die Lücken im Werbeanzeigen-Repository für den Zeitraum Januar bis September 2025 sind auf eine technische Server-Migration (Januar 2025) sowie auf eine schrittweise Implementierung der Repository-Befüllungspflicht zurückzuführen. Unsere Mandantin hat am 22. April 2026 mit der Rückfüllung begonnen. Die vollständige Rückfüllung ist bis zum 15. Mai 2026 geplant. Eine automatisierte Monitoring-Pipeline zur Verhinderung künftiger Lücken wird bis 01. Juni 2026 implementiert.</w:t>
      </w:r>
    </w:p>
    <w:p>
      <w:pPr>
        <w:pStyle w:val="Heading2"/>
        <w:spacing w:after="150" w:before="200"/>
      </w:pPr>
      <w:r>
        <w:rPr>
          <w:b/>
          <w:bCs/>
        </w:rPr>
        <w:t xml:space="preserve">4. Forschungsdatenzugang (Art. 40 DSA)</w:t>
      </w:r>
    </w:p>
    <w:p>
      <w:pPr>
        <w:spacing w:after="200"/>
      </w:pPr>
      <w:r>
        <w:t xml:space="preserve">Die Ablehnung des Antrags der Forschungsgruppe Prof. Dr. Müller-Kaminski (Universität zu Köln) vom 12. Februar 2026 erfolgte aus Gründen des Datenschutzes (Re-Identifizierungsrisiko) und des Schutzes von Geschäftsgeheimnissen (§ 2 Nr. 1 GeschGehG). Unsere Mandantin hat am 15. April 2026 ein Gespräch mit der Forschungsgruppe aufgenommen, um ein gestuftes Datenzugangsmodell zu entwickeln, das sowohl die Forschungsinteressen als auch die berechtigten Schutzinteressen der Plattform wahrt. Ein Vertragsangebot (Datenzugangsvereinbarung mit Secure-Data-Room-Lösung) wird bis zum 22. April 2026 vorgelegt.</w:t>
      </w:r>
    </w:p>
    <w:p>
      <w:pPr>
        <w:pStyle w:val="Heading1"/>
        <w:spacing w:after="200" w:before="300"/>
      </w:pPr>
      <w:r>
        <w:rPr>
          <w:b/>
          <w:bCs/>
          <w:sz w:val="24"/>
          <w:szCs w:val="24"/>
        </w:rPr>
        <w:t xml:space="preserve">III. Gesamtmaßnahmenplan und Berichterstattung</w:t>
      </w:r>
    </w:p>
    <w:p>
      <w:pPr>
        <w:spacing w:after="200"/>
      </w:pPr>
      <w:r>
        <w:t xml:space="preserve">Unsere Mandantin legt dieser Stellungnahme einen vollständigen Maßnahmenplan (Anlage 5) bei, der für jeden beanstandeten Verstoß konkrete Maßnahmen, Verantwortlichkeiten und Fristen enthält. Alle Abhilfemaßnahmen werden bis spätestens 14. Juli 2026 — der gesetzlichen Frist für die vollständige Umsetzung der VLOP-Pflichten nach Art. 33 Abs. 6 DSA — abgeschlossen sein.</w:t>
      </w:r>
    </w:p>
    <w:p>
      <w:pPr>
        <w:spacing w:after="200"/>
      </w:pPr>
      <w:r>
        <w:t xml:space="preserve">Unsere Mandantin bittet darum, monatliche Fortschrittsberichte an die Bundesnetzagentur übermitteln zu dürfen (nächster Bericht: 31. Mai 2026). Sie ist zudem bereit, einen persönlichen Gesprächstermin mit den zuständigen Referenten zu vereinbaren.</w:t>
      </w:r>
    </w:p>
    <w:p>
      <w:pPr>
        <w:pStyle w:val="Heading1"/>
        <w:spacing w:after="200" w:before="300"/>
      </w:pPr>
      <w:r>
        <w:rPr>
          <w:b/>
          <w:bCs/>
          <w:sz w:val="24"/>
          <w:szCs w:val="24"/>
        </w:rPr>
        <w:t xml:space="preserve">IV. Anträge</w:t>
      </w:r>
    </w:p>
    <w:p>
      <w:pPr>
        <w:spacing w:after="300"/>
      </w:pPr>
      <w:r>
        <w:t xml:space="preserve">Unsere Mandantin beantragt, das Mahnverfahren Az. BNetzA-DSC-2026-188 auf Basis des vorgelegten Maßnahmenplans zum Abschluss zu bringen, ohne dass ein Bußgeldbescheid nach Art. 52 DSA ergeht. Hilfsweise beantragt sie, vor Erlass eines etwaigen Bußgeldbescheids erneut Gelegenheit zur Stellungnahme zu erhalten.</w:t>
      </w:r>
    </w:p>
    <w:p>
      <w:pPr>
        <w:spacing w:after="200"/>
      </w:pPr>
      <w:r>
        <w:t xml:space="preserve">Mit freundlichen Grüßen</w:t>
      </w:r>
    </w:p>
    <w:p>
      <w:pPr>
        <w:spacing w:after="50"/>
      </w:pPr>
      <w:r>
        <w:rPr>
          <w:b/>
          <w:bCs/>
        </w:rPr>
        <w:t xml:space="preserve">RAin Dr. Philippa Groth-Steinberg</w:t>
      </w:r>
    </w:p>
    <w:p>
      <w:r>
        <w:t xml:space="preserve">Klotzkette Rechtsanwaltsgesellschaft mbH, Berlin</w:t>
      </w:r>
    </w:p>
    <w:p/>
    <w:p>
      <w:r>
        <w:t xml:space="preserve">RA Felix Wendland</w:t>
      </w:r>
    </w:p>
    <w:p/>
    <w:p>
      <w:pPr>
        <w:spacing w:after="100" w:before="300"/>
      </w:pPr>
      <w:r>
        <w:rPr>
          <w:b/>
          <w:bCs/>
        </w:rPr>
        <w:t xml:space="preserve">Anlagen:</w:t>
      </w:r>
    </w:p>
    <w:p>
      <w:r>
        <w:t xml:space="preserve">Anlage 1: Vollmacht der Körnerstrom Social GmbH</w:t>
      </w:r>
    </w:p>
    <w:p>
      <w:r>
        <w:t xml:space="preserve">Anlage 2: Stellenausschreibung Trust &amp; Safety (25.04.2026)</w:t>
      </w:r>
    </w:p>
    <w:p>
      <w:r>
        <w:t xml:space="preserve">Anlage 3: Technischer Zeitplan KI-Klassifikation</w:t>
      </w:r>
    </w:p>
    <w:p>
      <w:r>
        <w:t xml:space="preserve">Anlage 4: Technischer Zeitplan Non-Profiling-Option</w:t>
      </w:r>
    </w:p>
    <w:p>
      <w:r>
        <w:t xml:space="preserve">Anlage 5: Vollständiger Maßnahmenplan</w:t>
      </w:r>
    </w:p>
    <w:p/>
    <w:p>
      <w:pPr>
        <w:spacing w:before="400"/>
      </w:pPr>
      <w:r>
        <w:rPr>
          <w:i/>
          <w:iCs/>
          <w:color w:val="7A7974"/>
          <w:sz w:val="18"/>
          <w:szCs w:val="18"/>
        </w:rPr>
        <w:t xml:space="preserve">Quellen: Verordnung (EU) 2022/2065 (DSA), EUR-Lex: https://eur-lex.europa.eu/legal-content/DE/TXT/?uri=CELEX%3A32022R2065 | § 2 GeschGehG, dejure.org: https://dejure.org/gesetze/GeschGehG/2.html</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2026-05-30T18:10:19.137Z</dcterms:created>
  <dcterms:modified xsi:type="dcterms:W3CDTF">2026-05-30T18:10:19.137Z</dcterms:modified>
</cp:coreProperties>
</file>

<file path=docProps/custom.xml><?xml version="1.0" encoding="utf-8"?>
<Properties xmlns="http://schemas.openxmlformats.org/officeDocument/2006/custom-properties" xmlns:vt="http://schemas.openxmlformats.org/officeDocument/2006/docPropsVTypes"/>
</file>