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jc w:val="center"/>
      </w:pPr>
      <w:r>
        <w:t xml:space="preserve">LANDGERICHT ESSEN</w:t>
      </w:r>
    </w:p>
    <w:p>
      <w:pPr>
        <w:jc w:val="center"/>
      </w:pPr>
      <w:r>
        <w:t xml:space="preserve">18. Zivilkammer — Kammer fuer Massenverfahren</w:t>
      </w:r>
    </w:p>
    <w:p/>
    <w:p>
      <w:pPr>
        <w:jc w:val="center"/>
      </w:pPr>
      <w:r>
        <w:t xml:space="preserve">Aktenzeichen: 18 Mass 4/26</w:t>
      </w:r>
    </w:p>
    <w:p/>
    <w:p>
      <w:pPr>
        <w:jc w:val="center"/>
      </w:pPr>
      <w:r>
        <w:t xml:space="preserve">In dem Rechtsstreit</w:t>
      </w:r>
    </w:p>
    <w:p>
      <w:pPr>
        <w:jc w:val="center"/>
      </w:pPr>
      <w:r>
        <w:t xml:space="preserve">Verbraucherzentrale NRW e.V. (Klaegeein)</w:t>
      </w:r>
    </w:p>
    <w:p>
      <w:pPr>
        <w:jc w:val="center"/>
      </w:pPr>
      <w:r>
        <w:t xml:space="preserve">gegen</w:t>
      </w:r>
    </w:p>
    <w:p>
      <w:pPr>
        <w:jc w:val="center"/>
      </w:pPr>
      <w:r>
        <w:t xml:space="preserve">VermieterCheck Solutions GmbH (Beklagte)</w:t>
      </w:r>
    </w:p>
    <w:p/>
    <w:p>
      <w:pPr>
        <w:pStyle w:val="Heading1"/>
        <w:jc w:val="center"/>
      </w:pPr>
      <w:r>
        <w:t xml:space="preserve">KLAGEERWIDERUNG</w:t>
      </w:r>
    </w:p>
    <w:p>
      <w:pPr>
        <w:jc w:val="center"/>
      </w:pPr>
      <w:r>
        <w:t xml:space="preserve">der Beklagten VermieterCheck Solutions GmbH</w:t>
      </w:r>
    </w:p>
    <w:p/>
    <w:p>
      <w:pPr>
        <w:jc w:val="left"/>
      </w:pPr>
      <w:r>
        <w:t xml:space="preserve">Duesseldorf, den 15. Maerz 2026</w:t>
      </w:r>
    </w:p>
    <w:p/>
    <w:p>
      <w:pPr>
        <w:jc w:val="both"/>
      </w:pPr>
      <w:r>
        <w:t xml:space="preserve">Die Beklagte erwidert auf die Klageschrift vom 15. Dezember 2025 wie folgt:</w:t>
      </w:r>
    </w:p>
    <w:p/>
    <w:p>
      <w:pPr>
        <w:pStyle w:val="Heading2"/>
      </w:pPr>
      <w:r>
        <w:t xml:space="preserve">I. Antraege</w:t>
      </w:r>
    </w:p>
    <w:p>
      <w:pPr>
        <w:jc w:val="both"/>
      </w:pPr>
      <w:r>
        <w:t xml:space="preserve">Die Beklagte beantragt, die Klage abzuweisen.</w:t>
      </w:r>
    </w:p>
    <w:p>
      <w:pPr>
        <w:jc w:val="both"/>
      </w:pPr>
      <w:r>
        <w:t xml:space="preserve">Hilfsweise: Klageabweisung hinsichtlich der Betroffenen der Segmente C und D (ohne nachweisbaren individuellen Schaden), Beschraenkung etwaigen Schadensersatzes auf maximal 300 EUR je betroffener Person in Segment A und B.</w:t>
      </w:r>
    </w:p>
    <w:p/>
    <w:p>
      <w:pPr>
        <w:pStyle w:val="Heading2"/>
      </w:pPr>
      <w:r>
        <w:t xml:space="preserve">II. Zur Zulaessigkeit</w:t>
      </w:r>
    </w:p>
    <w:p>
      <w:pPr>
        <w:jc w:val="both"/>
      </w:pPr>
      <w:r>
        <w:t xml:space="preserve">Die Beklagte bestreitet nicht die Aktivlegitimation der Verbraucherzentrale NRW e.V. gemaess § 3 VDuG. Jedoch ist hinsichtlich der angemeldeten Betroffenen zu pruefen, ob saemtliche 8.200 Klaeger Verbraucher im Sinne des § 13 BGB sind. Die Beklagte bittet um Vorlage der vollstaendigen Klaegerliste.</w:t>
      </w:r>
    </w:p>
    <w:p/>
    <w:p>
      <w:pPr>
        <w:pStyle w:val="Heading2"/>
      </w:pPr>
      <w:r>
        <w:t xml:space="preserve">III. Zur Begruendetheit: Fehlendes Schaden-Erfordernis</w:t>
      </w:r>
    </w:p>
    <w:p>
      <w:pPr>
        <w:pStyle w:val="Heading3"/>
      </w:pPr>
      <w:r>
        <w:t xml:space="preserve">1. Massstab Art. 82 DSGVO</w:t>
      </w:r>
    </w:p>
    <w:p>
      <w:pPr>
        <w:jc w:val="both"/>
      </w:pPr>
      <w:r>
        <w:t xml:space="preserve">Der Europaeische Gerichtshof hat in seinem Urteil vom 4. Mai 2023 (C-300/21 — Oesterreichische Post) unmissverstaendlich klargestellt, dass nicht jeder Verstoss gegen die DSGVO automatisch einen Schadensersatzanspruch begruendet. Ein tatsaechlicher materieller oder immaterieller Schaden muss dargelegt und bewiesen werden. Die blosse Verletzung der DSGVO genuegt nicht.</w:t>
      </w:r>
    </w:p>
    <w:p/>
    <w:p>
      <w:pPr>
        <w:pStyle w:val="Heading3"/>
      </w:pPr>
      <w:r>
        <w:t xml:space="preserve">2. Fehlende individuelle Schadensdarglegung</w:t>
      </w:r>
    </w:p>
    <w:p>
      <w:pPr>
        <w:jc w:val="both"/>
      </w:pPr>
      <w:r>
        <w:t xml:space="preserve">Die Klageschrift enthalt keine individuellen Schadensdarlegungen der 8.200 angemeldeten Betroffenen. Es wird pauschal ein immaterieller Schaden von 1.500 EUR je Person geltend gemacht, ohne dass konkrete Beeintraechtigungen — verweigerte Wohnung, psychische Belastung, Missbrauch der Daten — fuer auch nur einen einzelnen Klaeger dargetan werden.</w:t>
      </w:r>
    </w:p>
    <w:p/>
    <w:p>
      <w:pPr>
        <w:pStyle w:val="Heading3"/>
      </w:pPr>
      <w:r>
        <w:t xml:space="preserve">3. Segmentierung nach Schadenslage</w:t>
      </w:r>
    </w:p>
    <w:p>
      <w:pPr>
        <w:jc w:val="both"/>
      </w:pPr>
      <w:r>
        <w:t xml:space="preserve">Die Beklagte differenziert die angemeldeten Betroffenen nach ihrer tatsaechlichen Schadenslage: Nur Betroffene, die nachweislich eine Wohnung infolge eines ROT-Scores nicht erhalten haben (Segment A, ca. 800 Personen), oder Betroffene der Datenpanne (Segment B, ca. 2.100 Personen), koennen einen anspruchsbegruendenden Schaden geltend machen. Fuer die verbleibenden ca. 5.300 Betroffenen (Segmente C und D) ist die Klage mangels Schaden abzuweisen.</w:t>
      </w:r>
    </w:p>
    <w:p/>
    <w:p>
      <w:pPr>
        <w:pStyle w:val="Heading2"/>
      </w:pPr>
      <w:r>
        <w:t xml:space="preserve">IV. Zur Schadenshoehe</w:t>
      </w:r>
    </w:p>
    <w:p>
      <w:pPr>
        <w:jc w:val="both"/>
      </w:pPr>
      <w:r>
        <w:t xml:space="preserve">Der geltend gemachte Betrag von 1.500 EUR je Person liegt am oberen Ende des richterlich zuerkannten Spektrums fuer reine Datenpannenfaelle ohne materiellen Schaden. Mit Verweis auf LG Frankfurt 2-27 O 100/21 (500 EUR fuer Facebook-Datenpanne) und BGH VI ZR 10/24 (1.200 EUR bei konkretem Kontrollverlust) ist die Forderung auf maximal 300-600 EUR fuer nachgewiesen beeintraechtigte Betroffene zu reduzieren.</w:t>
      </w:r>
    </w:p>
    <w:p/>
    <w:p>
      <w:pPr>
        <w:pStyle w:val="Heading2"/>
      </w:pPr>
      <w:r>
        <w:t xml:space="preserve">V. Vergleichsangebot</w:t>
      </w:r>
    </w:p>
    <w:p>
      <w:pPr>
        <w:jc w:val="both"/>
      </w:pPr>
      <w:r>
        <w:t xml:space="preserve">Die Beklagte bietet an, zur Vermeidung eines langwierigen Massenverfahrens einen Vergleichsfonds von 500.000 EUR einzurichten, der unter Verwaltung der Verbraucherzentrale NRW nach Massgabe des individuellen Schadennachweises an die Betroffenen auszuschuetten ist. Dies entspricht einem Durchschnittsbetrag von ca. 61 EUR je angemeldetem Betroffenen.</w:t>
      </w:r>
    </w:p>
    <w:p/>
    <w:p>
      <w:pPr>
        <w:pStyle w:val="Heading2"/>
      </w:pPr>
      <w:r>
        <w:t xml:space="preserve">VI. Beweisangebote</w:t>
      </w:r>
    </w:p>
    <w:p>
      <w:pPr>
        <w:jc w:val="both"/>
      </w:pPr>
      <w:r>
        <w:t xml:space="preserve">Fuer saemtliche Tatsachenbehauptungen bietet die Beklagte Beweis an: Penetrationstest-Bericht SecureProof GmbH (Sachverstaendigengutachten), Auskunftsprotokoll VCS (Urkundenbeweis), Sachverstaendigengutachten zur KI-Logik ProspectScore Pro (Inhalt und Gewichtung).</w:t>
      </w:r>
    </w:p>
    <w:p/>
    <w:p>
      <w:pPr>
        <w:jc w:val="left"/>
      </w:pPr>
      <w:r>
        <w:t xml:space="preserve">Mit freundlichen Gruessen</w:t>
      </w:r>
    </w:p>
    <w:p>
      <w:pPr>
        <w:jc w:val="left"/>
      </w:pPr>
      <w:r>
        <w:t xml:space="preserve">Specht, Beckenbauer &amp; Drosselberg Rechtsanwaltsgesellschaft mbH</w:t>
      </w:r>
    </w:p>
    <w:p>
      <w:pPr>
        <w:jc w:val="left"/>
      </w:pPr>
      <w:r>
        <w:t xml:space="preserve">Dr. Cornelius Specht | Miriam Beckenbauer</w:t>
      </w:r>
    </w:p>
    <w:p/>
    <w:p>
      <w:pPr>
        <w:pStyle w:val="Normal"/>
      </w:pPr>
      <w:r>
        <w:t xml:space="preserve">Quellen: DSGVO Art. 82 — https://dejure.org/gesetze/DSGVO | VDuG §§ 2, 3, 15 — https://dejure.org/gesetze/VDuG | EuGH C-300/21 (Oesterreichische Post) — https://eur-lex.europa.eu/legal-content/DE/TXT/?uri=CELEX:62021CJ0300 | BGH VI ZR 10/24 — https://www.bundesgerichtshof.de | EuGH C-456/22 (Gemeinde Ummendorf) — https://eur-lex.europa.eu/legal-content/DE/TXT/?uri=CELEX:62022CJ0456</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Klageerwiderung VDuG-Sammelklage LG Essen 18 Mass 4/26</dc:title>
  <dc:creator>Specht, Beckenbauer &amp; Drosselberg Rechtsanwaltsgesellschaft</dc:creator>
  <dc:description>Klageerwiderung VermieterCheck Solutions GmbH gegen VDuG-Sammelklage</dc:description>
  <cp:lastModifiedBy>Un-named</cp:lastModifiedBy>
  <cp:revision>1</cp:revision>
  <dcterms:created xsi:type="dcterms:W3CDTF">2026-05-30T17:32:08.152Z</dcterms:created>
  <dcterms:modified xsi:type="dcterms:W3CDTF">2026-05-30T17:32:08.152Z</dcterms:modified>
</cp:coreProperties>
</file>

<file path=docProps/custom.xml><?xml version="1.0" encoding="utf-8"?>
<Properties xmlns="http://schemas.openxmlformats.org/officeDocument/2006/custom-properties" xmlns:vt="http://schemas.openxmlformats.org/officeDocument/2006/docPropsVTypes"/>
</file>