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SKIZZE: VERFASSUNGSBESCHWERDE</w:t>
      </w:r>
    </w:p>
    <w:p>
      <w:pPr>
        <w:jc w:val="center"/>
      </w:pPr>
      <w:r>
        <w:t xml:space="preserve">gemaess Art. 93 Abs. 1 Nr. 4a GG, §§ 90 ff. BVerfGG</w:t>
      </w:r>
    </w:p>
    <w:p/>
    <w:p>
      <w:pPr>
        <w:jc w:val="center"/>
      </w:pPr>
      <w:r>
        <w:t xml:space="preserve">[VERTRAULICH — ANWALTLICHES ARBEITSPAPIER]</w:t>
      </w:r>
    </w:p>
    <w:p>
      <w:pPr>
        <w:jc w:val="center"/>
      </w:pPr>
      <w:r>
        <w:t xml:space="preserve">Kanzlei Specht, Beckenbauer &amp; Drosselberg, Stand: 05.02.2026</w:t>
      </w:r>
    </w:p>
    <w:p/>
    <w:p>
      <w:pPr>
        <w:jc w:val="left"/>
      </w:pPr>
      <w:r>
        <w:t xml:space="preserve">Beschwerdefuehrerin: VermieterCheck Solutions GmbH, Ruhrallee 188, 45136 Essen</w:t>
      </w:r>
    </w:p>
    <w:p>
      <w:pPr>
        <w:jc w:val="left"/>
      </w:pPr>
      <w:r>
        <w:t xml:space="preserve">Beschwerdegegenstand: Bussgeldbescheid LDI NRW, AZ DSB-NW-44/26 (hypothetisch — noch nicht ergangen)</w:t>
      </w:r>
    </w:p>
    <w:p/>
    <w:p>
      <w:pPr>
        <w:pStyle w:val="Heading2"/>
      </w:pPr>
      <w:r>
        <w:t xml:space="preserve">I. Zulassigkeit</w:t>
      </w:r>
    </w:p>
    <w:p>
      <w:pPr>
        <w:pStyle w:val="Heading3"/>
      </w:pPr>
      <w:r>
        <w:t xml:space="preserve">1. Beschwerdefaehigkeit (§ 90 Abs. 1 BVerfGG i.V.m. Art. 19 Abs. 3 GG)</w:t>
      </w:r>
    </w:p>
    <w:p>
      <w:pPr>
        <w:jc w:val="both"/>
      </w:pPr>
      <w:r>
        <w:t xml:space="preserve">Die Beschwerdefuehrerin ist als inlaendische juristische Person des Privatrechts grundrechtsberechtigt hinsichtlich Art. 12 Abs. 1 GG (Berufsfreiheit), Art. 14 Abs. 1 GG (Eigentumsgarantie) und Art. 103 Abs. 2 GG (Bestimmtheitsgrundsatz). Saemtliche Grundrechte sind ihrem Wesen nach auf juristische Personen anwendbar (BVerfGE 50, 290).</w:t>
      </w:r>
    </w:p>
    <w:p/>
    <w:p>
      <w:pPr>
        <w:pStyle w:val="Heading3"/>
      </w:pPr>
      <w:r>
        <w:t xml:space="preserve">2. Rechtswegerschoepfung (§ 90 Abs. 2 BVerfGG)</w:t>
      </w:r>
    </w:p>
    <w:p>
      <w:pPr>
        <w:jc w:val="both"/>
      </w:pPr>
      <w:r>
        <w:t xml:space="preserve">Die Verfassungsbeschwerde ist erst nach Erschoepfung des Rechtswegs zulassig: Widerspruch bei LDI NRW → VG Duesseldorf → OVG NRW → BVerwG (soweit Revision zugelassen). Vorliegend dient die Skizze der prospektiven Vorbereitung.</w:t>
      </w:r>
    </w:p>
    <w:p/>
    <w:p>
      <w:pPr>
        <w:pStyle w:val="Heading2"/>
      </w:pPr>
      <w:r>
        <w:t xml:space="preserve">II. Begruendetheit: Verletzung von Grundrechten</w:t>
      </w:r>
    </w:p>
    <w:p>
      <w:pPr>
        <w:pStyle w:val="Heading3"/>
      </w:pPr>
      <w:r>
        <w:t xml:space="preserve">1. Art. 12 Abs. 1 GG — Berufsfreiheit</w:t>
      </w:r>
    </w:p>
    <w:p>
      <w:pPr>
        <w:jc w:val="both"/>
      </w:pPr>
      <w:r>
        <w:t xml:space="preserve">Ein Bussgeld in Hoehe eines wesentlichen Teils des Jahresumsatzes (vgl. hypothetische 4-5 Mio. EUR bei Jahresumsatz 4 Mio. EUR) stellt einen schwerwiegenden Eingriff in die Berufsausuebungsfreiheit dar. Der Dreistufentest des BVerfGE 7, 377 (Apotheken-Urteil) verlangt fuer solche Eingriffe eine strenge Verhaeltnismaessigkeitspruefung. Ein Bussgeld, das die wirtschaftliche Existenz vernichtet, ist nicht mehr verhaeltnismaessig im engeren Sinne (Art. 12 Abs. 1 GG i.V.m. Art. 20 Abs. 3 GG — Uebermaessverbot).</w:t>
      </w:r>
    </w:p>
    <w:p/>
    <w:p>
      <w:pPr>
        <w:pStyle w:val="Heading3"/>
      </w:pPr>
      <w:r>
        <w:t xml:space="preserve">2. Art. 103 Abs. 2 GG — Nulla poena sine lege certa</w:t>
      </w:r>
    </w:p>
    <w:p>
      <w:pPr>
        <w:jc w:val="both"/>
      </w:pPr>
      <w:r>
        <w:t xml:space="preserve">Art. 83 DSGVO raumt der Aufsichtsbehoerde ein Ermessen von 0 bis 20 Mio. EUR oder 0 bis 4% des Jahresumsatzes ein. Diese Weite des Bussgeldsrahmens koennte gegen das Bestimmtheitsgebot des Art. 103 Abs. 2 GG verstossen, soweit keine hinreichenden gesetzlichen Vorgaben fuer die Bemessung bestehen. Die EDSA-Leitlinien 04/2022 sind keine Rechtsnorm, sondern lediglich Auslegungshilfe.</w:t>
      </w:r>
    </w:p>
    <w:p/>
    <w:p>
      <w:pPr>
        <w:pStyle w:val="Heading3"/>
      </w:pPr>
      <w:r>
        <w:t xml:space="preserve">3. EU-Grundrechte-Dimension: Art. 49 GRCh</w:t>
      </w:r>
    </w:p>
    <w:p>
      <w:pPr>
        <w:jc w:val="both"/>
      </w:pPr>
      <w:r>
        <w:t xml:space="preserve">Art. 49 Abs. 3 GRCh: Das Mass der Strafe muss zur Straftat in einem angemessenen Verhaeltnis stehen. Der EuGH hat in C-807/21 (Deutsche Wohnen, 05.12.2023) diese Verhaeltnismaessigkeitspruefung bestaetigt. Vor Erschoepfung des Rechtswegs ist ein Vorabentscheidungsersuchen gemaess Art. 267 AEUV an den EuGH zu stellen, um die Verhaeltnismaessigkeit des Bussgelds auf KMU-Ebene klaeren zu lassen.</w:t>
      </w:r>
    </w:p>
    <w:p/>
    <w:p>
      <w:pPr>
        <w:pStyle w:val="Heading3"/>
      </w:pPr>
      <w:r>
        <w:t xml:space="preserve">4. Solange-Vorbehalt (BVerfGE 73, 339)</w:t>
      </w:r>
    </w:p>
    <w:p>
      <w:pPr>
        <w:jc w:val="both"/>
      </w:pPr>
      <w:r>
        <w:t xml:space="preserve">Die Anwendung von EU-Recht (Art. 83 DSGVO) durch deutsche Behoerden unterliegt dem Solange-Vorbehalt des BVerfG: So lange das EU-Recht einen dem Grundgesetz im Wesentlichen gleich zu achtenden Grundrechtsschutz gewaehrleistet, prueft das BVerfG nicht jede Verletzung von EU-Sekundaerrecht auf Grundrechtskonformitaet. Bei einer existenzvernichtenden Sanktion koennte jedoch der verfassungsidentitaere Kern des GG betroffen sein (BVerfG 2 BvR 1685/14 — PSPP-Urteil).</w:t>
      </w:r>
    </w:p>
    <w:p/>
    <w:p>
      <w:pPr>
        <w:pStyle w:val="Heading2"/>
      </w:pPr>
      <w:r>
        <w:t xml:space="preserve">III. Ergebnis</w:t>
      </w:r>
    </w:p>
    <w:p>
      <w:pPr>
        <w:jc w:val="both"/>
      </w:pPr>
      <w:r>
        <w:t xml:space="preserve">Eine Verfassungsbeschwerde hat Erfolgsaussichten, wenn: (1) das Bussgeld die wirtschaftliche Existenz der Beschwerdefuehrerin gefaehrdet (Jahresumsatz 4 Mio. EUR), (2) der Rechtsweg erschoepft ist, (3) ein Vorabentscheidungsersuchen an den EuGH zu Art. 49 Abs. 3 GRCh keinen Erfolg hatte. Primaerziel bleibt eine verhaeltnismaessige Bussgeldbemessung auf dem Verwaltungsweg.</w:t>
      </w:r>
    </w:p>
    <w:p/>
    <w:p>
      <w:pPr>
        <w:jc w:val="left"/>
      </w:pPr>
      <w:r>
        <w:t xml:space="preserve">Dr. Cornelius Specht | RA | Fachanwalt Datenschutzrecht</w:t>
      </w:r>
    </w:p>
    <w:p>
      <w:pPr>
        <w:jc w:val="left"/>
      </w:pPr>
      <w:r>
        <w:t xml:space="preserve">Specht, Beckenbauer &amp; Drosselberg Rechtsanwaltsgesellschaft mbH, Duesseldorf</w:t>
      </w:r>
    </w:p>
    <w:p/>
    <w:p>
      <w:pPr>
        <w:pStyle w:val="Normal"/>
      </w:pPr>
      <w:r>
        <w:t xml:space="preserve">Quellen: GG Art. 12, 14, 103 — https://dejure.org/gesetze/GG | BVerfGG §§ 90 ff. — https://dejure.org/gesetze/BVerfGG | GRCh Art. 49 — https://eur-lex.europa.eu/legal-content/DE/TXT/?uri=CELEX:12012P/TXT | EuGH C-807/21 (Deutsche Wohnen) — https://eur-lex.europa.eu/legal-content/DE/TXT/?uri=CELEX:62021CJ0807 | BVerfGE 7 377 (Apotheken-Urteil) — https://www.bundesverfassungsgericht.de | AEUV Art. 267 — https://eur-lex.europa.eu/legal-content/DE/TXT/?uri=CELEX:12016E267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Verfassungsbeschwerde-Skizze gegen DSGVO-Bussgeldbescheid</dc:title>
  <dc:creator>Specht, Beckenbauer &amp; Drosselberg Rechtsanwaltsgesellschaft</dc:creator>
  <dc:description>Skizze einer moeglichen Verfassungsbeschwerde der VermieterCheck Solutions GmbH</dc:description>
  <cp:lastModifiedBy>Un-named</cp:lastModifiedBy>
  <cp:revision>1</cp:revision>
  <dcterms:created xsi:type="dcterms:W3CDTF">2026-05-30T17:32:08.161Z</dcterms:created>
  <dcterms:modified xsi:type="dcterms:W3CDTF">2026-05-30T17:32:08.161Z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