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jc w:val="center"/>
      </w:pPr>
      <w:r>
        <w:rPr>
          <w:rFonts w:ascii="Calibri" w:cs="Calibri" w:eastAsia="Calibri" w:hAnsi="Calibri"/>
          <w:b/>
          <w:bCs/>
          <w:sz w:val="26"/>
          <w:szCs w:val="26"/>
        </w:rPr>
        <w:t xml:space="preserve">Amtsgericht Köln</w:t>
      </w:r>
    </w:p>
    <w:p>
      <w:pPr>
        <w:jc w:val="center"/>
      </w:pPr>
      <w:r>
        <w:rPr>
          <w:rFonts w:ascii="Calibri" w:cs="Calibri" w:eastAsia="Calibri" w:hAnsi="Calibri"/>
          <w:sz w:val="22"/>
          <w:szCs w:val="22"/>
        </w:rPr>
        <w:t xml:space="preserve">Luxemburger Straße 101 · 50939 Köln</w:t>
      </w:r>
    </w:p>
    <w:p/>
    <w:p>
      <w:pPr>
        <w:jc w:val="right"/>
      </w:pPr>
      <w:r>
        <w:rPr>
          <w:rFonts w:ascii="Calibri" w:cs="Calibri" w:eastAsia="Calibri" w:hAnsi="Calibri"/>
          <w:sz w:val="22"/>
          <w:szCs w:val="22"/>
        </w:rPr>
        <w:t xml:space="preserve">Köln, den 12. Mai 2026</w:t>
      </w:r>
    </w:p>
    <w:p/>
    <w:p>
      <w:pPr>
        <w:jc w:val="left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Kläger:</w:t>
      </w:r>
    </w:p>
    <w:p>
      <w:pPr>
        <w:jc w:val="left"/>
      </w:pPr>
      <w:r>
        <w:rPr>
          <w:rFonts w:ascii="Calibri" w:cs="Calibri" w:eastAsia="Calibri" w:hAnsi="Calibri"/>
          <w:sz w:val="22"/>
          <w:szCs w:val="22"/>
        </w:rPr>
        <w:t xml:space="preserve">1. Dr. Cornelia Straßburger, Bachemer Straße 84, 50931 Köln-Lindenthal</w:t>
      </w:r>
    </w:p>
    <w:p>
      <w:pPr>
        <w:jc w:val="left"/>
      </w:pPr>
      <w:r>
        <w:rPr>
          <w:rFonts w:ascii="Calibri" w:cs="Calibri" w:eastAsia="Calibri" w:hAnsi="Calibri"/>
          <w:sz w:val="22"/>
          <w:szCs w:val="22"/>
        </w:rPr>
        <w:t xml:space="preserve">2. Dr. Boris Straßburger-Möhren, Bachemer Straße 84, 50931 Köln-Lindenthal</w:t>
      </w:r>
    </w:p>
    <w:p>
      <w:pPr>
        <w:jc w:val="left"/>
      </w:pPr>
      <w:r>
        <w:rPr>
          <w:rFonts w:ascii="Calibri" w:cs="Calibri" w:eastAsia="Calibri" w:hAnsi="Calibri"/>
          <w:sz w:val="22"/>
          <w:szCs w:val="22"/>
        </w:rPr>
        <w:t xml:space="preserve">vertr. durch RA'in Vanessa Hauck-Brüggemann, Berrenrather Str. 114, 50937 Köln-Sülz</w:t>
      </w:r>
    </w:p>
    <w:p/>
    <w:p>
      <w:pPr>
        <w:jc w:val="left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Beklagte:</w:t>
      </w:r>
    </w:p>
    <w:p>
      <w:pPr>
        <w:jc w:val="left"/>
      </w:pPr>
      <w:r>
        <w:rPr>
          <w:rFonts w:ascii="Calibri" w:cs="Calibri" w:eastAsia="Calibri" w:hAnsi="Calibri"/>
          <w:sz w:val="22"/>
          <w:szCs w:val="22"/>
        </w:rPr>
        <w:t xml:space="preserve">Übrige Wohnungseigentümer der WEG Rolandstraße 27a, 50677 Köln</w:t>
      </w:r>
    </w:p>
    <w:p>
      <w:pPr>
        <w:jc w:val="left"/>
      </w:pPr>
      <w:r>
        <w:rPr>
          <w:rFonts w:ascii="Calibri" w:cs="Calibri" w:eastAsia="Calibri" w:hAnsi="Calibri"/>
          <w:sz w:val="22"/>
          <w:szCs w:val="22"/>
        </w:rPr>
        <w:t xml:space="preserve">vertr. durch Verwalterin: Immobilienverwaltung Rheineck GmbH</w:t>
      </w:r>
    </w:p>
    <w:p/>
    <w:p>
      <w:pPr>
        <w:jc w:val="left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Aktenzeichen: 205 C 67/26</w:t>
      </w:r>
    </w:p>
    <w:p/>
    <w:p>
      <w:pPr>
        <w:jc w:val="center"/>
      </w:pPr>
      <w:r>
        <w:rPr>
          <w:rFonts w:ascii="Calibri" w:cs="Calibri" w:eastAsia="Calibri" w:hAnsi="Calibri"/>
          <w:b/>
          <w:bCs/>
          <w:sz w:val="28"/>
          <w:szCs w:val="28"/>
          <w:u w:val="single"/>
        </w:rPr>
        <w:t xml:space="preserve">ANFECHTUNGSKLAGE</w:t>
      </w:r>
    </w:p>
    <w:p>
      <w:pPr>
        <w:jc w:val="center"/>
      </w:pPr>
      <w:r>
        <w:rPr>
          <w:rFonts w:ascii="Calibri" w:cs="Calibri" w:eastAsia="Calibri" w:hAnsi="Calibri"/>
          <w:sz w:val="22"/>
          <w:szCs w:val="22"/>
        </w:rPr>
        <w:t xml:space="preserve">gemäß § 44 Abs. 1 Satz 1 WEG</w:t>
      </w:r>
    </w:p>
    <w:p/>
    <w:p>
      <w:pPr>
        <w:jc w:val="left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I. Antrag</w:t>
      </w:r>
    </w:p>
    <w:p/>
    <w:p>
      <w:pPr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Den Beschluss der Wohnungseigentümerversammlung WEG Rolandstraße 27a, Köln vom 14. April 2026 (Beschluss-Nr. 2026/5) über die Sanierung des Treppenhauses nebst Erhebung einer Sonderumlage von 142.000 EUR für ungültig zu erklären.</w:t>
      </w:r>
    </w:p>
    <w:p/>
    <w:p>
      <w:pPr>
        <w:jc w:val="left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II. Sachverhalt</w:t>
      </w:r>
    </w:p>
    <w:p/>
    <w:p>
      <w:pPr>
        <w:jc w:val="both"/>
      </w:pPr>
      <w:r>
        <w:rPr>
          <w:rFonts w:ascii="Calibri" w:cs="Calibri" w:eastAsia="Calibri" w:hAnsi="Calibri"/>
          <w:sz w:val="22"/>
          <w:szCs w:val="22"/>
        </w:rPr>
        <w:t xml:space="preserve">Am 14. April 2026 beschloss die Wohnungseigentümerversammlung der WEG Rolandstraße 27a mit 5:1-Stimmen (nach MEA: 860:140) die Sanierung des gemeinschaftlichen Treppenhauses. Die beschlossene Sonderumlage beträgt 142.000 EUR, aufgeteilt nach Miteigentumsanteilen in zwei Raten zum 01.06.2026 und 01.09.2026. Die Kläger sind Eigentümer der Einheit Nr. 6 (DG) mit einem MEA von 140/1000. Ihr Anteil: 19.880 EUR.</w:t>
      </w:r>
    </w:p>
    <w:p/>
    <w:p>
      <w:pPr>
        <w:jc w:val="left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III. Rechtliche Begründung</w:t>
      </w:r>
    </w:p>
    <w:p/>
    <w:p>
      <w:pPr>
        <w:jc w:val="both"/>
      </w:pPr>
      <w:r>
        <w:rPr>
          <w:rFonts w:ascii="Calibri" w:cs="Calibri" w:eastAsia="Calibri" w:hAnsi="Calibri"/>
          <w:sz w:val="22"/>
          <w:szCs w:val="22"/>
        </w:rPr>
        <w:t xml:space="preserve">1. Zulässigkeit: Die Klage ist gemäß § 44 Abs. 1 WEG statthaft und fristgerecht eingelegt (Klage 12.05.2026, Monatsfrist ab 14.04.2026 = bis 14.05.2026). Aktenzeichen: 205 C 67/26.</w:t>
      </w:r>
    </w:p>
    <w:p/>
    <w:p>
      <w:pPr>
        <w:jc w:val="both"/>
      </w:pPr>
      <w:r>
        <w:rPr>
          <w:rFonts w:ascii="Calibri" w:cs="Calibri" w:eastAsia="Calibri" w:hAnsi="Calibri"/>
          <w:sz w:val="22"/>
          <w:szCs w:val="22"/>
        </w:rPr>
        <w:t xml:space="preserve">2. Begründetheit – Unverhältnismäßige Sonderumlage: Der tatsächliche Sanierungsbedarf beträgt nach Gutachten Möhren+Partner 28.000–35.000 EUR netto. Das günstigste Vollpaket-Angebot (Kern &amp; Partner) liegt bei 54.103 EUR brutto. Die Sonderumlage von 142.000 EUR übersteigt den Auftragswert um rund 162 %. Dies widerspricht ordnungsgemäßer Verwaltung (§ 18 Abs. 2, § 19 WEG). Vgl. BGH, Urt. v. 17.10.2014, V ZR 9/14, NJW 2015, 843; BGH, Urt. v. 13.01.2012, V ZR 129/11, NJW 2012, 1224.</w:t>
      </w:r>
    </w:p>
    <w:p/>
    <w:p>
      <w:pPr>
        <w:jc w:val="left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IV. Streitwert</w:t>
      </w:r>
    </w:p>
    <w:p>
      <w:pPr>
        <w:jc w:val="left"/>
      </w:pPr>
      <w:r>
        <w:rPr>
          <w:rFonts w:ascii="Calibri" w:cs="Calibri" w:eastAsia="Calibri" w:hAnsi="Calibri"/>
          <w:sz w:val="22"/>
          <w:szCs w:val="22"/>
        </w:rPr>
        <w:t xml:space="preserve">MEA-Anteil Straßburger an Sonderumlage: 19.880 EUR.</w:t>
      </w:r>
    </w:p>
    <w:p/>
    <w:p>
      <w:pPr>
        <w:jc w:val="left"/>
      </w:pPr>
      <w:r>
        <w:rPr>
          <w:rFonts w:ascii="Calibri" w:cs="Calibri" w:eastAsia="Calibri" w:hAnsi="Calibri"/>
          <w:sz w:val="22"/>
          <w:szCs w:val="22"/>
        </w:rPr>
        <w:t xml:space="preserve">Mit freundlichen Grüßen</w:t>
      </w:r>
    </w:p>
    <w:p/>
    <w:p>
      <w:pPr>
        <w:jc w:val="left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Hauck-Brüggemann Mietrecht</w:t>
      </w:r>
    </w:p>
    <w:p/>
    <w:p>
      <w:pPr>
        <w:jc w:val="left"/>
      </w:pPr>
      <w:r>
        <w:rPr>
          <w:rFonts w:ascii="Calibri" w:cs="Calibri" w:eastAsia="Calibri" w:hAnsi="Calibri"/>
          <w:sz w:val="22"/>
          <w:szCs w:val="22"/>
        </w:rPr>
        <w:t xml:space="preserve">___________________________</w:t>
      </w:r>
    </w:p>
    <w:p>
      <w:pPr>
        <w:jc w:val="left"/>
      </w:pPr>
      <w:r>
        <w:rPr>
          <w:rFonts w:ascii="Calibri" w:cs="Calibri" w:eastAsia="Calibri" w:hAnsi="Calibri"/>
          <w:sz w:val="22"/>
          <w:szCs w:val="22"/>
        </w:rPr>
        <w:t xml:space="preserve">Vanessa Hauck-Brüggemann, Fachanwältin für Miet- und WEG-Recht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Anfechtungsklage – WEG Rolandstraße 27a, Beschluss Treppenhaussanierung</dc:title>
  <dc:creator>Kanzlei Hauck-Brüggemann Mietrecht</dc:creator>
  <cp:lastModifiedBy>Un-named</cp:lastModifiedBy>
  <cp:revision>1</cp:revision>
  <dcterms:created xsi:type="dcterms:W3CDTF">2026-05-30T15:13:50.481Z</dcterms:created>
  <dcterms:modified xsi:type="dcterms:W3CDTF">2026-05-30T15:13:50.481Z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