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Interne Anweisung: Kanzleikorrespondenz und E-Mail-Kommunikation</w:t>
      </w:r>
    </w:p>
    <w:p>
      <w:r>
        <w:rPr>
          <w:i/>
          <w:iCs/>
        </w:rPr>
        <w:t xml:space="preserve">Version 3.0 | Kanzlei Rosenmühle &amp; Partner | In Kraft ab: 22. März 2026</w:t>
      </w:r>
    </w:p>
    <w:p/>
    <w:p>
      <w:pPr>
        <w:pStyle w:val="Heading2"/>
      </w:pPr>
      <w:r>
        <w:t xml:space="preserve">1. Geltungsbereich</w:t>
      </w:r>
    </w:p>
    <w:p>
      <w:r>
        <w:t xml:space="preserve">Diese Anweisung gilt für alle Rechtsanwältinnen und Rechtsanwälte, Referendarinnen und Referendare sowie Verwaltungsmitarbeiterinnen und -mitarbeiter der Kanzlei Rosenmühle &amp; Partner.</w:t>
      </w:r>
    </w:p>
    <w:p/>
    <w:p>
      <w:pPr>
        <w:pStyle w:val="Heading2"/>
      </w:pPr>
      <w:r>
        <w:t xml:space="preserve">2. Nutzung von Kommunikationssystemen</w:t>
      </w:r>
    </w:p>
    <w:p>
      <w:r>
        <w:t xml:space="preserve">2.1 Mandatsbezogene Korrespondenz ist ausschließlich über das Kanzleisystem (Microsoft Outlook 365, Kanzlei-Domain @kanzlei-rosenmuehle.de) zu führen. Die Nutzung privater E-Mail-Konten (Gmail, GMX, Web.de etc.) für mandatliche Kommunikation ist untersagt.</w:t>
      </w:r>
    </w:p>
    <w:p/>
    <w:p>
      <w:r>
        <w:t xml:space="preserve">2.2 Vor dem Versand einer E-Mail an externe Empfänger ist zu prüfen: (a) Sind die Empfänger korrekt? (b) Ist der Anhang das richtige Dokument? (c) Bei Massenversand (mehr als 3 Empfänger): Vier-Augen-Prinzip — Überprüfung durch eine zweite Person.</w:t>
      </w:r>
    </w:p>
    <w:p/>
    <w:p>
      <w:pPr>
        <w:pStyle w:val="Heading2"/>
      </w:pPr>
      <w:r>
        <w:t xml:space="preserve">3. Sachlichkeitspflicht nach § 43a Abs. 3 BRAO und § 2 BORA</w:t>
      </w:r>
    </w:p>
    <w:p>
      <w:r>
        <w:t xml:space="preserve">3.1 Alle ausgehenden Schriftstücke — E-Mails, Briefe, Schriftsätze — müssen das Sachlichkeitsgebot nach § 43a Abs. 3 BRAO einhalten. Unsachliche Angriffe gegen Kollegen oder Verfahrensbeteiligte sind unzulässig.</w:t>
      </w:r>
    </w:p>
    <w:p/>
    <w:p>
      <w:r>
        <w:t xml:space="preserve">3.2 Vor dem Versand einer E-Mail an gegnerische Anwälte oder Gerichte in einem Konfliktfall ist die Nutzung des Plugins email-umformulierer-berufsrecht obligatorisch (ab verbindlicher Einführung, geplant Juni 2026). Bis dahin gilt eine Empfehlung zur freiwilligen Nutzung.</w:t>
      </w:r>
    </w:p>
    <w:p/>
    <w:p>
      <w:pPr>
        <w:pStyle w:val="Heading2"/>
      </w:pPr>
      <w:r>
        <w:t xml:space="preserve">4. Nachtversandregelung</w:t>
      </w:r>
    </w:p>
    <w:p>
      <w:r>
        <w:t xml:space="preserve">E-Mails an externe Empfänger, die zwischen 21:00 und 07:00 Uhr verfasst werden, sind grundsätzlich nicht sofort zu versenden. Sie sind als Entwurf zu speichern und am nächsten Morgen erneut zu lesen, bevor sie versandt werden. Ausnahmen bedürfen der ausdrücklichen schriftlichen Freigabe durch einen Partner.</w:t>
      </w:r>
    </w:p>
    <w:p/>
    <w:p>
      <w:pPr>
        <w:pStyle w:val="Heading2"/>
      </w:pPr>
      <w:r>
        <w:t xml:space="preserve">5. Datenschutz</w:t>
      </w:r>
    </w:p>
    <w:p>
      <w:r>
        <w:t xml:space="preserve">5.1 Personenbezogene Daten von Mandanten und Dritten dürfen nur an autorisierte Empfänger weitergegeben werden. Interne Dokumente mit personenbezogenen Daten von Kanzleimitarbeitern sind im Verzeichnis [INTERN] abzulegen und nicht an externe Empfänger zu versenden.</w:t>
      </w:r>
    </w:p>
    <w:p/>
    <w:p>
      <w:r>
        <w:t xml:space="preserve">5.2 Bei Verdacht auf eine DSGVO-Panne ist unverzüglich RA Dr. Kröll oder der Datenschutzbeauftragte zu informieren. Die 72-Stunden-Meldefrist nach Art. 33 DSGVO beginnt mit Kenntnis der Panne.</w:t>
      </w:r>
    </w:p>
    <w:p/>
    <w:p>
      <w:pPr>
        <w:pStyle w:val="Heading2"/>
      </w:pPr>
      <w:r>
        <w:t xml:space="preserve">6. Dokumentation</w:t>
      </w:r>
    </w:p>
    <w:p>
      <w:r>
        <w:t xml:space="preserve">Alle wesentlichen Mandantenkontakte (Telefonate über 15 Minuten, persönliche Gespräche, schriftliche Kommunikation) sind innerhalb von 24 Stunden in der digitalen Akte zu dokumentieren.</w:t>
      </w:r>
    </w:p>
    <w:p/>
    <w:p>
      <w:pPr>
        <w:pStyle w:val="Heading2"/>
      </w:pPr>
      <w:r>
        <w:t xml:space="preserve">7. Verstöße</w:t>
      </w:r>
    </w:p>
    <w:p>
      <w:r>
        <w:t xml:space="preserve">Verstöße gegen diese Anweisung können zu internen Disziplinarmaßnahmen führen und begründen im Einzelfall eine anwaltliche Haftung nach § 280 BGB sowie berufsrechtliche Konsequenzen nach § 43a BRAO i.V.m. §§ 73 ff. BRAO.</w:t>
      </w:r>
    </w:p>
    <w:p/>
    <w:p>
      <w:r>
        <w:rPr>
          <w:i/>
          <w:iCs/>
        </w:rPr>
        <w:t xml:space="preserve">Frankfurt am Main, 22. März 2026</w:t>
      </w:r>
    </w:p>
    <w:p/>
    <w:p>
      <w:r>
        <w:rPr>
          <w:b/>
          <w:bCs/>
        </w:rPr>
        <w:t xml:space="preserve">Dr. Volkard Kröll, Kanzleileitung</w:t>
      </w:r>
    </w:p>
    <w:p/>
    <w:p>
      <w:pPr>
        <w:pStyle w:val="Heading2"/>
      </w:pPr>
      <w:r>
        <w:t xml:space="preserve">Rechtsgrundlagen</w:t>
      </w:r>
    </w:p>
    <w:p>
      <w:r>
        <w:t xml:space="preserve">§ 43a BRAO: https://dejure.org/gesetze/BRAO/43a.html</w:t>
      </w:r>
    </w:p>
    <w:p>
      <w:r>
        <w:t xml:space="preserve">§ 2 BORA: https://dejure.org/gesetze/BORA/2.html</w:t>
      </w:r>
    </w:p>
    <w:p>
      <w:r>
        <w:t xml:space="preserve">Art. 33 DSGVO: https://eur-lex.europa.eu/legal-content/DE/TXT/?uri=CELEX%3A32016R0679</w:t>
      </w:r>
    </w:p>
    <w:p>
      <w:r>
        <w:t xml:space="preserve">§ 50 BRAO: https://dejure.org/gesetze/BRAO/50.html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2026-05-30T18:08:54.820Z</dcterms:created>
  <dcterms:modified xsi:type="dcterms:W3CDTF">2026-05-30T18:08:54.821Z</dcterms:modified>
</cp:coreProperties>
</file>

<file path=docProps/custom.xml><?xml version="1.0" encoding="utf-8"?>
<Properties xmlns="http://schemas.openxmlformats.org/officeDocument/2006/custom-properties" xmlns:vt="http://schemas.openxmlformats.org/officeDocument/2006/docPropsVTypes"/>
</file>