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t xml:space="preserve">Stellungnahme der Kanzlei Rosenmühle &amp; Partner</w:t>
      </w:r>
    </w:p>
    <w:p>
      <w:r>
        <w:rPr>
          <w:b/>
          <w:bCs/>
        </w:rPr>
        <w:t xml:space="preserve">An: Rechtsanwaltskammer Frankfurt am Main | Az. RAK-F 188/26</w:t>
      </w:r>
    </w:p>
    <w:p>
      <w:r>
        <w:rPr>
          <w:i/>
          <w:iCs/>
        </w:rPr>
        <w:t xml:space="preserve">Von: RA Dr. Volkard Kröll / RAin Yvonne Tannenkamp, Kanzlei Rosenmühle &amp; Partner</w:t>
      </w:r>
    </w:p>
    <w:p>
      <w:r>
        <w:rPr>
          <w:i/>
          <w:iCs/>
        </w:rPr>
        <w:t xml:space="preserve">Datum: 05. April 2026</w:t>
      </w:r>
    </w:p>
    <w:p/>
    <w:p>
      <w:pPr>
        <w:pStyle w:val="Heading2"/>
      </w:pPr>
      <w:r>
        <w:t xml:space="preserve">I. Einleitung</w:t>
      </w:r>
    </w:p>
    <w:p>
      <w:r>
        <w:t xml:space="preserve">Wir nehmen Bezug auf das Anhörungsschreiben der Rechtsanwaltskammer Frankfurt am Main vom 22. März 2026 (Az. RAK-F 188/26) und geben hiermit fristgerecht unsere Stellungnahme zu den erhobenen Beschwerdepunkten ab. Wir nehmen die Beschwerde ernst und sind bereit, die Vorgänge vollständig und transparent darzulegen.</w:t>
      </w:r>
    </w:p>
    <w:p/>
    <w:p>
      <w:pPr>
        <w:pStyle w:val="Heading2"/>
      </w:pPr>
      <w:r>
        <w:t xml:space="preserve">II. Zu Beschwerdepunkt 1: E-Mail-Korrespondenz vom 14.02.2026</w:t>
      </w:r>
    </w:p>
    <w:p>
      <w:r>
        <w:t xml:space="preserve">Wir räumen ein, dass die von RA Dr. Kröll am 14. Februar 2026 um 01:47 Uhr von einer privaten E-Mail-Adresse versandte Nachricht Formulierungen enthielt, die dem Gebot der Sachlichkeit nach § 43a Abs. 3 BRAO sowie dem Kollegialitätsgebot nach § 2 BORA nicht in jeder Hinsicht entsprochen haben. Die Verwendung bestimmter Wendungen war unangemessen und ist zu bedauern.</w:t>
      </w:r>
    </w:p>
    <w:p/>
    <w:p>
      <w:r>
        <w:t xml:space="preserve">Der Kontext, in dem die E-Mail entstand, erklärt — ohne sie zu entschuldigen — die außergewöhnliche emotionale Belastung: Am Abend des 14. Februar 2026 hatte RA Dr. Kröll ein dreistündiges Telefonat mit Herrn Markus Trenkler geführt, in dem dieser mit der sofortigen Mandatskündigung und öffentlicher Anprangerung der Kanzlei gedroht hatte. Unmittelbar im Anschluss an dieses Gespräch entstand die beanstandete E-Mail.</w:t>
      </w:r>
    </w:p>
    <w:p/>
    <w:p>
      <w:r>
        <w:t xml:space="preserve">Die Kanzlei hat als Reaktion auf diesen Vorfall unverzüglich Maßnahmen ergriffen, um gleichartige Vorfälle künftig zu verhindern (vgl. Abschnitt V dieser Stellungnahme).</w:t>
      </w:r>
    </w:p>
    <w:p/>
    <w:p>
      <w:pPr>
        <w:pStyle w:val="Heading2"/>
      </w:pPr>
      <w:r>
        <w:t xml:space="preserve">III. Zu Beschwerdepunkt 2: Datenpanne vom 08.03.2026</w:t>
      </w:r>
    </w:p>
    <w:p>
      <w:r>
        <w:t xml:space="preserve">Die Datenpanne vom 08. März 2026 ist auf einen Bedienungsfehler im Sekretariat zurückzuführen: Ein internes Dokument mit der Privatanschrift von RAin Tannenkamp wurde irrtümlich anstelle des extern bestimmten Mandantendokuments versandt. Die Kanzlei hat die Meldepflicht nach Art. 33 DSGVO eingehalten und die Betroffene nach Art. 34 DSGVO unverzüglich informiert (Meldung HBDI, Az. DSB-2026-1142, vom 10.03.2026).</w:t>
      </w:r>
    </w:p>
    <w:p/>
    <w:p>
      <w:pPr>
        <w:pStyle w:val="Heading2"/>
      </w:pPr>
      <w:r>
        <w:t xml:space="preserve">IV. Zu Beschwerdepunkt 3: Verfahrensverzögerung</w:t>
      </w:r>
    </w:p>
    <w:p>
      <w:r>
        <w:t xml:space="preserve">Der Vorwurf einer Verfahrensverzögerung durch die Kanzlei ist sachlich unzutreffend. Die verzögerte Bearbeitung ist ausschließlich auf die Verweigerung der Informationsherausgabe durch die Gegenseite zurückzuführen, die trotz mehrfacher Aufforderung unter Fristsetzung die Jahresabschlüsse 2022 und 2023 nicht übermittelt hat. Die gesamte Korrespondenz mit der Gegenseite liegt der Kammer auf Anforderung zur Einsicht zur Verfügung.</w:t>
      </w:r>
    </w:p>
    <w:p/>
    <w:p>
      <w:pPr>
        <w:pStyle w:val="Heading2"/>
      </w:pPr>
      <w:r>
        <w:t xml:space="preserve">V. Ergriffene Maßnahmen</w:t>
      </w:r>
    </w:p>
    <w:p>
      <w:r>
        <w:t xml:space="preserve">Die Kanzlei hat nach den Vorfällen folgende Maßnahmen umgesetzt: (1) Aktivierung einer DLP-Policy in Outlook 365 (15.03.2026); (2) Kanzleirichtlinie: ausschließliche Nutzung von Kanzleisystemen für mandatliche Kommunikation (22.03.2026); (3) Verzeichnistrennung interne/externe Dokumente (20.03.2026); (4) Planmäßige DSGVO- und Berufsrechtsschulungen für alle Mitarbeiter (Mai/Juni 2026); (5) Evaluierung des Plugins email-umformulierer-berufsrecht zur verbindlichen Einführung.</w:t>
      </w:r>
    </w:p>
    <w:p/>
    <w:p>
      <w:pPr>
        <w:pStyle w:val="Heading2"/>
      </w:pPr>
      <w:r>
        <w:t xml:space="preserve">VI. Schluss</w:t>
      </w:r>
    </w:p>
    <w:p>
      <w:r>
        <w:t xml:space="preserve">Wir bitten die Kammer, die ergriffenen Maßnahmen und den einmaligen Charakter des Vorfalls bei der Bewertung zu berücksichtigen. Wir stehen für Rückfragen und für eine ergänzende mündliche Erläuterung jederzeit zur Verfügung.</w:t>
      </w:r>
    </w:p>
    <w:p/>
    <w:p>
      <w:r>
        <w:rPr>
          <w:i/>
          <w:iCs/>
        </w:rPr>
        <w:t xml:space="preserve">Frankfurt am Main, 05. April 2026</w:t>
      </w:r>
    </w:p>
    <w:p/>
    <w:p>
      <w:r>
        <w:rPr>
          <w:b/>
          <w:bCs/>
        </w:rPr>
        <w:t xml:space="preserve">Dr. Volkard Kröll, Rechtsanwalt und Partner | Yvonne Tannenkamp, Rechtsanwältin</w:t>
      </w:r>
    </w:p>
    <w:p/>
    <w:p>
      <w:pPr>
        <w:pStyle w:val="Heading2"/>
      </w:pPr>
      <w:r>
        <w:t xml:space="preserve">Quellen</w:t>
      </w:r>
    </w:p>
    <w:p>
      <w:r>
        <w:t xml:space="preserve">§ 43a BRAO: https://dejure.org/gesetze/BRAO/43a.html</w:t>
      </w:r>
    </w:p>
    <w:p>
      <w:r>
        <w:t xml:space="preserve">§ 2 BORA: https://dejure.org/gesetze/BORA/2.html</w:t>
      </w:r>
    </w:p>
    <w:p>
      <w:r>
        <w:t xml:space="preserve">Art. 33 DSGVO: https://eur-lex.europa.eu/legal-content/DE/TXT/?uri=CELEX%3A32016R0679</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2026-05-30T18:08:20.948Z</dcterms:created>
  <dcterms:modified xsi:type="dcterms:W3CDTF">2026-05-30T18:08:20.948Z</dcterms:modified>
</cp:coreProperties>
</file>

<file path=docProps/custom.xml><?xml version="1.0" encoding="utf-8"?>
<Properties xmlns="http://schemas.openxmlformats.org/officeDocument/2006/custom-properties" xmlns:vt="http://schemas.openxmlformats.org/officeDocument/2006/docPropsVTypes"/>
</file>