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  <w:r>
        <w:rPr>
          <w:b/>
          <w:bCs/>
          <w:sz w:val="22"/>
          <w:szCs w:val="22"/>
        </w:rPr>
        <w:t xml:space="preserve">Salzgitter, Boekenkamp &amp; Trautmannsdorf Rechtsanwaltsgesellschaft mbH</w:t>
      </w:r>
    </w:p>
    <w:p>
      <w:pPr>
        <w:spacing w:after="200"/>
      </w:pPr>
      <w:r>
        <w:rPr>
          <w:sz w:val="20"/>
          <w:szCs w:val="20"/>
        </w:rPr>
        <w:t xml:space="preserve">Taunusanlage 9 · 60329 Frankfurt am Main</w:t>
      </w:r>
    </w:p>
    <w:p>
      <w:pPr>
        <w:spacing w:after="40"/>
      </w:pPr>
      <w:r>
        <w:rPr>
          <w:sz w:val="22"/>
          <w:szCs w:val="22"/>
        </w:rPr>
        <w:t xml:space="preserve">An das</w:t>
      </w:r>
    </w:p>
    <w:p>
      <w:pPr>
        <w:spacing w:after="40"/>
      </w:pPr>
      <w:r>
        <w:rPr>
          <w:b/>
          <w:bCs/>
          <w:sz w:val="22"/>
          <w:szCs w:val="22"/>
        </w:rPr>
        <w:t xml:space="preserve">Bundesministerium für Wirtschaft und Klimaschutz</w:t>
      </w:r>
    </w:p>
    <w:p>
      <w:pPr>
        <w:spacing w:after="40"/>
      </w:pPr>
      <w:r>
        <w:rPr>
          <w:sz w:val="22"/>
          <w:szCs w:val="22"/>
        </w:rPr>
        <w:t xml:space="preserve">Referat IB4 — Investitionsprüfung</w:t>
      </w:r>
    </w:p>
    <w:p>
      <w:pPr>
        <w:spacing w:after="200"/>
      </w:pPr>
      <w:r>
        <w:rPr>
          <w:sz w:val="22"/>
          <w:szCs w:val="22"/>
        </w:rPr>
        <w:t xml:space="preserve">Scharnhorststraße 34–37, 10115 Berlin</w:t>
      </w:r>
    </w:p>
    <w:p>
      <w:pPr>
        <w:spacing w:after="200"/>
        <w:jc w:val="right"/>
      </w:pPr>
      <w:r>
        <w:rPr>
          <w:sz w:val="22"/>
          <w:szCs w:val="22"/>
        </w:rPr>
        <w:t xml:space="preserve">Frankfurt am Main, 15. Mai 2026</w:t>
      </w:r>
    </w:p>
    <w:p>
      <w:pPr>
        <w:spacing w:after="60"/>
      </w:pPr>
      <w:r>
        <w:rPr>
          <w:b/>
          <w:bCs/>
          <w:sz w:val="22"/>
          <w:szCs w:val="22"/>
        </w:rPr>
        <w:t xml:space="preserve">Aktenzeichen: BMWK 13-IPR-66/2026</w:t>
      </w:r>
    </w:p>
    <w:p>
      <w:pPr>
        <w:spacing w:after="200"/>
      </w:pPr>
      <w:r>
        <w:rPr>
          <w:sz w:val="22"/>
          <w:szCs w:val="22"/>
        </w:rPr>
        <w:t xml:space="preserve">Betrifft: Investitionsprüfverfahren — Erwerb von 28 % der Anteile an der Werkmann Anlagentechnik AG, Mannheim, durch TianYuan Industrial Group Co., Ltd., Suzhou, China</w:t>
      </w:r>
    </w:p>
    <w:p>
      <w:pPr>
        <w:pStyle w:val="Heading1"/>
        <w:spacing w:after="120" w:before="300"/>
      </w:pPr>
      <w:r>
        <w:t xml:space="preserve">Stellungnahme der Zielgesellschaft</w:t>
      </w:r>
    </w:p>
    <w:p>
      <w:pPr>
        <w:pStyle w:val="Heading2"/>
        <w:spacing w:after="120" w:before="300"/>
      </w:pPr>
      <w:r>
        <w:t xml:space="preserve">I. Einleitung und Überblick</w:t>
      </w:r>
    </w:p>
    <w:p>
      <w:pPr>
        <w:spacing w:after="60" w:before="60"/>
      </w:pPr>
      <w:r>
        <w:rPr>
          <w:sz w:val="22"/>
          <w:szCs w:val="22"/>
        </w:rPr>
        <w:t xml:space="preserve">Die Werkmann Anlagentechnik AG (nachfolgend „Werkmann" oder „Zielgesellschaft") überreicht hiermit gemäß § 57 Abs. 1 AWV ihre vollständige Stellungnahme zum Investitionsprüfverfahren Az. BMWK 13-IPR-66/2026 betreffend den geplanten Erwerb von 28 % der Geschäftsanteile durch die TianYuan Industrial Group Co., Ltd. (nachfolgend „TianYuan" oder „Erwerberin").</w:t>
      </w:r>
    </w:p>
    <w:p>
      <w:pPr>
        <w:spacing w:after="60" w:before="60"/>
      </w:pPr>
      <w:r>
        <w:rPr>
          <w:sz w:val="22"/>
          <w:szCs w:val="22"/>
        </w:rPr>
        <w:t xml:space="preserve">Werkmann ist ein seit 1978 in Mannheim ansässiges Familienunternehmen und zählt zu den führenden Herstellern von Präzisions-Mahlanlagen und Mikrofluidik-Reaktoren für die pharmazeutische Industrie in Europa. Das Unternehmen beschäftigt 480 Mitarbeiterinnen und Mitarbeiter und erzielte im Geschäftsjahr 2025 einen Umsatz von ca. 187 Millionen Euro.</w:t>
      </w:r>
    </w:p>
    <w:p>
      <w:pPr>
        <w:pStyle w:val="Heading2"/>
        <w:spacing w:after="120" w:before="300"/>
      </w:pPr>
      <w:r>
        <w:t xml:space="preserve">II. Transaktionsstruktur</w:t>
      </w:r>
    </w:p>
    <w:p>
      <w:pPr>
        <w:spacing w:after="60" w:before="60"/>
      </w:pPr>
      <w:r>
        <w:rPr>
          <w:sz w:val="22"/>
          <w:szCs w:val="22"/>
        </w:rPr>
        <w:t xml:space="preserve">TianYuan beabsichtigt, 28 % der Anteile an Werkmann im Wege einer Kapitalerhöhung zu erwerben. Der Kaufpreis beträgt 52,4 Millionen Euro. Die Transaktion erfolgt zur Finanzierung des Investitionsplans 2026–2028 (Erweiterung des Worms-Werks) und zur Erschließung des asiatischen Markts. Die Altgesellschafter (Dr. Werkmann-Lottermann, 64 %; Familie Sollinger-Baum-Trust, 36 %) verbleiben als Mehrheitsgesellschafter.</w:t>
      </w:r>
    </w:p>
    <w:p>
      <w:pPr>
        <w:pStyle w:val="Heading2"/>
        <w:spacing w:after="120" w:before="300"/>
      </w:pPr>
      <w:r>
        <w:t xml:space="preserve">III. Sicherheitsrechtliche Darstellung</w:t>
      </w:r>
    </w:p>
    <w:p>
      <w:pPr>
        <w:spacing w:after="60" w:before="60"/>
      </w:pPr>
      <w:r>
        <w:rPr>
          <w:sz w:val="22"/>
          <w:szCs w:val="22"/>
        </w:rPr>
        <w:t xml:space="preserve">Werkmann legt folgende Unterlagen vor, die die sicherheitsrechtliche Unbedenklichkeit der Transaktion belegen sollen:</w:t>
      </w:r>
    </w:p>
    <w:p>
      <w:pPr>
        <w:spacing w:after="60" w:before="60"/>
      </w:pPr>
      <w:r>
        <w:rPr>
          <w:sz w:val="22"/>
          <w:szCs w:val="22"/>
        </w:rPr>
        <w:t xml:space="preserve">1. Gesellschaftsstruktur TianYuan Industrial Group Co., Ltd. (Anlage 1): Darlegung der Aktionärsstruktur, einschließlich der indirekten staatlichen Beteiligung durch Suzhou State Assets Management Co., Ltd. (14,7 %).</w:t>
      </w:r>
    </w:p>
    <w:p>
      <w:pPr>
        <w:spacing w:after="60" w:before="60"/>
      </w:pPr>
      <w:r>
        <w:rPr>
          <w:sz w:val="22"/>
          <w:szCs w:val="22"/>
        </w:rPr>
        <w:t xml:space="preserve">2. Technologiebeschreibung Werkmann (Anlage 2): Beschreibung der Kernprodukte PMA- und MFR-Serien sowie der exportkontrollrechtlichen Einstufung.</w:t>
      </w:r>
    </w:p>
    <w:p>
      <w:pPr>
        <w:spacing w:after="60" w:before="60"/>
      </w:pPr>
      <w:r>
        <w:rPr>
          <w:sz w:val="22"/>
          <w:szCs w:val="22"/>
        </w:rPr>
        <w:t xml:space="preserve">3. Technologieschutz-Vereinbarung (TPA, Anlage 3): Entwurf eines Technology Protection Agreement, das TianYuan verpflichtet, keinerlei exportkontrollrelevante Technologien ohne BAFA-Freigabe weiterzugeben.</w:t>
      </w:r>
    </w:p>
    <w:p>
      <w:pPr>
        <w:spacing w:after="60" w:before="60"/>
      </w:pPr>
      <w:r>
        <w:rPr>
          <w:sz w:val="22"/>
          <w:szCs w:val="22"/>
        </w:rPr>
        <w:t xml:space="preserve">4. Information Barrier (Anlage 4): Konzept einer vollständigen informatorischen Abschottung zwischen TianYuan-Vertretern und Bereichen mit sicherheitsrelevantem Know-how.</w:t>
      </w:r>
    </w:p>
    <w:p>
      <w:pPr>
        <w:spacing w:after="60" w:before="60"/>
      </w:pPr>
      <w:r>
        <w:rPr>
          <w:sz w:val="22"/>
          <w:szCs w:val="22"/>
        </w:rPr>
        <w:t xml:space="preserve">5. Offenlegung laufender Verfahren (Anlage 5): Disclosure Letter über das BAFA OWi-Verfahren Az. BL-22-4188/26 und sonstige regulatorische Verfahren.</w:t>
      </w:r>
    </w:p>
    <w:p>
      <w:pPr>
        <w:pStyle w:val="Heading2"/>
        <w:spacing w:after="120" w:before="300"/>
      </w:pPr>
      <w:r>
        <w:t xml:space="preserve">IV. Proaktive Schutzmaßnahmen</w:t>
      </w:r>
    </w:p>
    <w:p>
      <w:pPr>
        <w:spacing w:after="60" w:before="60"/>
      </w:pPr>
      <w:r>
        <w:rPr>
          <w:sz w:val="22"/>
          <w:szCs w:val="22"/>
        </w:rPr>
        <w:t xml:space="preserve">Werkmann und TianYuan sind bereit, folgende Schutzmaßnahmen freiwillig zu akzeptieren, um etwaigen Sicherheitsbedenken des BMWK proaktiv zu begegnen:</w:t>
      </w:r>
    </w:p>
    <w:p>
      <w:pPr>
        <w:spacing w:after="60" w:before="60"/>
      </w:pPr>
      <w:r>
        <w:rPr>
          <w:sz w:val="22"/>
          <w:szCs w:val="22"/>
        </w:rPr>
        <w:t xml:space="preserve">(a) Technology Protection Agreement mit vollständigem Re-Transfer-Verbot für exportkontrollrelevante Güter und Technologien;</w:t>
      </w:r>
    </w:p>
    <w:p>
      <w:pPr>
        <w:spacing w:after="60" w:before="60"/>
      </w:pPr>
      <w:r>
        <w:rPr>
          <w:sz w:val="22"/>
          <w:szCs w:val="22"/>
        </w:rPr>
        <w:t xml:space="preserve">(b) Information Barrier zwischen TianYuan-Vertreter und sicherheitsrelevantem F&amp;E- und Fertigungsbereich;</w:t>
      </w:r>
    </w:p>
    <w:p>
      <w:pPr>
        <w:spacing w:after="60" w:before="60"/>
      </w:pPr>
      <w:r>
        <w:rPr>
          <w:sz w:val="22"/>
          <w:szCs w:val="22"/>
        </w:rPr>
        <w:t xml:space="preserve">(c) Beobachter-Mandat im Aufsichtsrat für einen vom BMWK nominierten deutschen Vertreter;</w:t>
      </w:r>
    </w:p>
    <w:p>
      <w:pPr>
        <w:spacing w:after="60" w:before="60"/>
      </w:pPr>
      <w:r>
        <w:rPr>
          <w:sz w:val="22"/>
          <w:szCs w:val="22"/>
        </w:rPr>
        <w:t xml:space="preserve">(d) Halbjährliche Compliance-Berichte an das BAFA über Exportkontroll-Maßnahmen.</w:t>
      </w:r>
    </w:p>
    <w:p>
      <w:pPr>
        <w:pStyle w:val="Heading2"/>
        <w:spacing w:after="120" w:before="300"/>
      </w:pPr>
      <w:r>
        <w:t xml:space="preserve">V. Antrag</w:t>
      </w:r>
    </w:p>
    <w:p>
      <w:pPr>
        <w:spacing w:after="60" w:before="60"/>
      </w:pPr>
      <w:r>
        <w:rPr>
          <w:sz w:val="22"/>
          <w:szCs w:val="22"/>
        </w:rPr>
        <w:t xml:space="preserve">Werkmann Anlagentechnik AG beantragt, das Investitionsprüfverfahren Az. BMWK 13-IPR-66/2026 mit der Erteilung einer Freigabe — gegebenenfalls unter den vorstehend angebotenen Auflagen — abzuschließen.</w:t>
      </w:r>
    </w:p>
    <w:p>
      <w:pPr>
        <w:spacing w:after="60" w:before="60"/>
      </w:pPr>
    </w:p>
    <w:p>
      <w:pPr>
        <w:spacing w:after="60" w:before="60"/>
      </w:pPr>
      <w:r>
        <w:rPr>
          <w:sz w:val="22"/>
          <w:szCs w:val="22"/>
        </w:rPr>
        <w:t xml:space="preserve">Frankfurt am Main, 15. Mai 2026</w:t>
      </w:r>
    </w:p>
    <w:p>
      <w:pPr>
        <w:spacing w:after="60" w:before="60"/>
      </w:pPr>
    </w:p>
    <w:p>
      <w:pPr>
        <w:spacing w:after="60" w:before="60"/>
      </w:pPr>
      <w:r>
        <w:rPr>
          <w:sz w:val="22"/>
          <w:szCs w:val="22"/>
        </w:rPr>
        <w:t xml:space="preserve">RAin Dr. Carola Boekenkamp (LL.M. London)</w:t>
      </w:r>
    </w:p>
    <w:p>
      <w:pPr>
        <w:spacing w:after="60" w:before="60"/>
      </w:pPr>
      <w:r>
        <w:rPr>
          <w:sz w:val="22"/>
          <w:szCs w:val="22"/>
        </w:rPr>
        <w:t xml:space="preserve">Kanzlei Salzgitter, Boekenkamp &amp; Trautmannsdorf</w:t>
      </w:r>
    </w:p>
    <w:p>
      <w:pPr>
        <w:spacing w:after="60" w:before="60"/>
      </w:pPr>
      <w:r>
        <w:rPr>
          <w:sz w:val="22"/>
          <w:szCs w:val="22"/>
        </w:rPr>
        <w:t xml:space="preserve">für die Werkmann Anlagentechnik AG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2026-05-30T16:46:07.643Z</dcterms:created>
  <dcterms:modified xsi:type="dcterms:W3CDTF">2026-05-30T16:46:07.643Z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