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center"/>
      </w:pPr>
      <w:r>
        <w:rPr>
          <w:b/>
          <w:bCs/>
          <w:sz w:val="28"/>
          <w:szCs w:val="28"/>
        </w:rPr>
        <w:t xml:space="preserve">INTERNATIONAL CHAMBER OF COMMERCE</w:t>
      </w:r>
    </w:p>
    <w:p>
      <w:pPr>
        <w:jc w:val="center"/>
      </w:pPr>
      <w:r>
        <w:rPr>
          <w:b/>
          <w:bCs/>
          <w:sz w:val="24"/>
          <w:szCs w:val="24"/>
        </w:rPr>
        <w:t xml:space="preserve">INTERNATIONAL COURT OF ARBITRATION</w:t>
      </w:r>
    </w:p>
    <w:p>
      <w:pPr>
        <w:spacing w:after="200"/>
        <w:jc w:val="center"/>
      </w:pPr>
      <w:r>
        <w:rPr>
          <w:b/>
          <w:bCs/>
          <w:sz w:val="22"/>
          <w:szCs w:val="22"/>
        </w:rPr>
        <w:t xml:space="preserve">ICC Case No. 28-441/SCH/MS</w:t>
      </w:r>
    </w:p>
    <w:p>
      <w:pPr>
        <w:spacing w:after="60" w:before="60"/>
      </w:pPr>
    </w:p>
    <w:p>
      <w:pPr>
        <w:pStyle w:val="Heading1"/>
        <w:spacing w:after="120" w:before="300"/>
      </w:pPr>
      <w:r>
        <w:t xml:space="preserve">REQUEST FOR ARBITRATION</w:t>
      </w:r>
    </w:p>
    <w:p>
      <w:pPr>
        <w:spacing w:after="200"/>
        <w:jc w:val="center"/>
      </w:pPr>
      <w:r>
        <w:rPr>
          <w:sz w:val="22"/>
          <w:szCs w:val="22"/>
        </w:rPr>
        <w:t xml:space="preserve">pursuant to Articles 4 and 5 of the ICC Arbitration Rules 2021</w:t>
      </w:r>
    </w:p>
    <w:p>
      <w:pPr>
        <w:spacing w:after="60" w:before="60"/>
      </w:pPr>
    </w:p>
    <w:p>
      <w:pPr>
        <w:pStyle w:val="Heading2"/>
        <w:spacing w:after="120" w:before="300"/>
      </w:pPr>
      <w:r>
        <w:t xml:space="preserve">Parties</w:t>
      </w:r>
    </w:p>
    <w:p>
      <w:pPr>
        <w:spacing w:after="60" w:before="60"/>
      </w:pPr>
      <w:r>
        <w:rPr>
          <w:sz w:val="22"/>
          <w:szCs w:val="22"/>
        </w:rPr>
        <w:t xml:space="preserve">Claimant: Werkmann Anlagentechnik AG, Industriestraße 88, 68169 Mannheim, Germany. Represented by: RAin Dr. Carola Boekenkamp, Salzgitter, Boekenkamp &amp; Trautmannsdorf Rechtsanwaltsgesellschaft mbH, Taunusanlage 9, 60329 Frankfurt am Main.</w:t>
      </w:r>
    </w:p>
    <w:p>
      <w:pPr>
        <w:spacing w:after="60" w:before="60"/>
      </w:pPr>
      <w:r>
        <w:rPr>
          <w:sz w:val="22"/>
          <w:szCs w:val="22"/>
        </w:rPr>
        <w:t xml:space="preserve">Respondent: BioMechanix Pvt. Ltd., Sai Chambers, Plot No. 117, Baner Road, Pune 411045, Maharashtra, India. CIN: U33000MH2010PTC204566.</w:t>
      </w:r>
    </w:p>
    <w:p>
      <w:pPr>
        <w:pStyle w:val="Heading2"/>
        <w:spacing w:after="120" w:before="300"/>
      </w:pPr>
      <w:r>
        <w:t xml:space="preserve">I. Summary of the Dispute</w:t>
      </w:r>
    </w:p>
    <w:p>
      <w:pPr>
        <w:spacing w:after="60" w:before="60"/>
      </w:pPr>
      <w:r>
        <w:rPr>
          <w:sz w:val="22"/>
          <w:szCs w:val="22"/>
        </w:rPr>
        <w:t xml:space="preserve">The Claimant, Werkmann Anlagentechnik AG (hereinafter „Werkmann" or „Claimant"), is a German manufacturer of precision milling equipment and microfluidic reactors for the pharmaceutical industry, headquartered in Mannheim, Germany.</w:t>
      </w:r>
    </w:p>
    <w:p>
      <w:pPr>
        <w:spacing w:after="60" w:before="60"/>
      </w:pPr>
      <w:r>
        <w:rPr>
          <w:sz w:val="22"/>
          <w:szCs w:val="22"/>
        </w:rPr>
        <w:t xml:space="preserve">The Respondent, BioMechanix Pvt. Ltd. (hereinafter „BioMechanix" or „Respondent"), is an Indian company engaged in the manufacture and distribution of pharmaceutical processing equipment.</w:t>
      </w:r>
    </w:p>
    <w:p>
      <w:pPr>
        <w:spacing w:after="60" w:before="60"/>
      </w:pPr>
      <w:r>
        <w:rPr>
          <w:sz w:val="22"/>
          <w:szCs w:val="22"/>
        </w:rPr>
        <w:t xml:space="preserve">This dispute arises out of the Sale and Supply Contract No. WAT-IN-2021-001 dated 15 September 2021, as amended by Amendment No. 2 dated 07 April 2023 (hereinafter the „Contract"), for the supply, installation and commissioning of five (5) precision milling units of type PMA-7000-Pharma at an aggregate contract price of EUR 12,750,000 (twelve million seven hundred fifty thousand euros).</w:t>
      </w:r>
    </w:p>
    <w:p>
      <w:pPr>
        <w:pStyle w:val="Heading2"/>
        <w:spacing w:after="120" w:before="300"/>
      </w:pPr>
      <w:r>
        <w:t xml:space="preserve">II. Factual Background</w:t>
      </w:r>
    </w:p>
    <w:p>
      <w:pPr>
        <w:spacing w:after="60" w:before="60"/>
      </w:pPr>
      <w:r>
        <w:rPr>
          <w:sz w:val="22"/>
          <w:szCs w:val="22"/>
        </w:rPr>
        <w:t xml:space="preserve">Werkmann fully and timely delivered all five PMA-7000-Pharma units and completed commissioning. The Site Acceptance Test (SAT) Protocol was signed by both parties on 14 November 2024. BioMechanix signed the SAT Protocol and thereby confirmed acceptance of the units. The Protocol bears the signature of BioMechanix Managing Director Pradeep Narayan.</w:t>
      </w:r>
    </w:p>
    <w:p>
      <w:pPr>
        <w:spacing w:after="60" w:before="60"/>
      </w:pPr>
      <w:r>
        <w:rPr>
          <w:sz w:val="22"/>
          <w:szCs w:val="22"/>
        </w:rPr>
        <w:t xml:space="preserve">Despite the completion of the SAT, BioMechanix has failed and refused to pay:</w:t>
      </w:r>
    </w:p>
    <w:p>
      <w:pPr>
        <w:spacing w:after="60" w:before="60"/>
      </w:pPr>
      <w:r>
        <w:rPr>
          <w:sz w:val="22"/>
          <w:szCs w:val="22"/>
        </w:rPr>
        <w:t xml:space="preserve">(a) Milestone 4 (the final payment instalment of 20% of the contract price): EUR 2,550,000; and</w:t>
      </w:r>
    </w:p>
    <w:p>
      <w:pPr>
        <w:spacing w:after="60" w:before="60"/>
      </w:pPr>
      <w:r>
        <w:rPr>
          <w:sz w:val="22"/>
          <w:szCs w:val="22"/>
        </w:rPr>
        <w:t xml:space="preserve">(b) the Completion Bonus pursuant to Article 4.3 of Amendment No. 2 (payable upon timely completion): EUR 2,250,000.</w:t>
      </w:r>
    </w:p>
    <w:p>
      <w:pPr>
        <w:spacing w:after="60" w:before="60"/>
      </w:pPr>
      <w:r>
        <w:rPr>
          <w:sz w:val="22"/>
          <w:szCs w:val="22"/>
        </w:rPr>
        <w:t xml:space="preserve">The total unpaid amount is EUR 4,800,000 (four million eight hundred thousand euros), plus statutory interest pursuant to § 288 para. 2 of the German Civil Code (Bürgerliches Gesetzbuch – BGB) at the rate of 9 percentage points above the base rate, accruing from the due date of 14 November 2024.</w:t>
      </w:r>
    </w:p>
    <w:p>
      <w:pPr>
        <w:spacing w:after="60" w:before="60"/>
      </w:pPr>
      <w:r>
        <w:rPr>
          <w:sz w:val="22"/>
          <w:szCs w:val="22"/>
        </w:rPr>
        <w:t xml:space="preserve">Werkmann issued demand letters on 10 December 2024, 08 January 2025 and 21 February 2025 and set a final deadline of 07 March 2025. BioMechanix has failed to respond substantively to any of these demands.</w:t>
      </w:r>
    </w:p>
    <w:p>
      <w:pPr>
        <w:pStyle w:val="Heading2"/>
        <w:spacing w:after="120" w:before="300"/>
      </w:pPr>
      <w:r>
        <w:t xml:space="preserve">III. Arbitration Agreement</w:t>
      </w:r>
    </w:p>
    <w:p>
      <w:pPr>
        <w:spacing w:after="60" w:before="60"/>
      </w:pPr>
      <w:r>
        <w:rPr>
          <w:sz w:val="22"/>
          <w:szCs w:val="22"/>
        </w:rPr>
        <w:t xml:space="preserve">Article 18.2 of the Contract provides:</w:t>
      </w:r>
    </w:p>
    <w:p>
      <w:pPr>
        <w:spacing w:after="60" w:before="60"/>
      </w:pPr>
      <w:r>
        <w:rPr>
          <w:sz w:val="22"/>
          <w:szCs w:val="22"/>
        </w:rPr>
        <w:t xml:space="preserve">"Any dispute, controversy or claim arising out of or in connection with this Contract, or the breach, termination or invalidity thereof, shall be finally settled by arbitration under the ICC Arbitration Rules then in effect. The number of arbitrators shall be three (3). The seat of arbitration shall be Paris, France. The language of the arbitral proceedings shall be English. The governing law shall be the law of the Federal Republic of Germany (excluding conflict of laws rules)."</w:t>
      </w:r>
    </w:p>
    <w:p>
      <w:pPr>
        <w:spacing w:after="60" w:before="60"/>
      </w:pPr>
      <w:r>
        <w:rPr>
          <w:sz w:val="22"/>
          <w:szCs w:val="22"/>
        </w:rPr>
        <w:t xml:space="preserve">This Request for Arbitration is filed pursuant to and in accordance with Article 4 of the 2021 ICC Arbitration Rules and the said arbitration agreement.</w:t>
      </w:r>
    </w:p>
    <w:p>
      <w:pPr>
        <w:pStyle w:val="Heading2"/>
        <w:spacing w:after="120" w:before="300"/>
      </w:pPr>
      <w:r>
        <w:t xml:space="preserve">IV. Relief Sought</w:t>
      </w:r>
    </w:p>
    <w:p>
      <w:pPr>
        <w:spacing w:after="60" w:before="60"/>
      </w:pPr>
      <w:r>
        <w:rPr>
          <w:sz w:val="22"/>
          <w:szCs w:val="22"/>
        </w:rPr>
        <w:t xml:space="preserve">Claimant respectfully requests the Arbitral Tribunal to:</w:t>
      </w:r>
    </w:p>
    <w:p>
      <w:pPr>
        <w:spacing w:after="60" w:before="60"/>
      </w:pPr>
      <w:r>
        <w:rPr>
          <w:sz w:val="22"/>
          <w:szCs w:val="22"/>
        </w:rPr>
        <w:t xml:space="preserve">1. Award Claimant EUR 4,800,000 (four million eight hundred thousand euros) in respect of the unpaid Milestone 4 payment and Completion Bonus;</w:t>
      </w:r>
    </w:p>
    <w:p>
      <w:pPr>
        <w:spacing w:after="60" w:before="60"/>
      </w:pPr>
      <w:r>
        <w:rPr>
          <w:sz w:val="22"/>
          <w:szCs w:val="22"/>
        </w:rPr>
        <w:t xml:space="preserve">2. Award Claimant interest on the above amount at the rate of 9 percentage points above the statutory base rate (§ 288 para. 2 BGB) from 14 November 2024 until full payment;</w:t>
      </w:r>
    </w:p>
    <w:p>
      <w:pPr>
        <w:spacing w:after="60" w:before="60"/>
      </w:pPr>
      <w:r>
        <w:rPr>
          <w:sz w:val="22"/>
          <w:szCs w:val="22"/>
        </w:rPr>
        <w:t xml:space="preserve">3. Order Respondent to bear all costs of the arbitration, including the costs of legal representation of Claimant; and</w:t>
      </w:r>
    </w:p>
    <w:p>
      <w:pPr>
        <w:spacing w:after="60" w:before="60"/>
      </w:pPr>
      <w:r>
        <w:rPr>
          <w:sz w:val="22"/>
          <w:szCs w:val="22"/>
        </w:rPr>
        <w:t xml:space="preserve">4. Grant such other relief as the Arbitral Tribunal deems appropriate.</w:t>
      </w:r>
    </w:p>
    <w:p>
      <w:pPr>
        <w:pStyle w:val="Heading2"/>
        <w:spacing w:after="120" w:before="300"/>
      </w:pPr>
      <w:r>
        <w:t xml:space="preserve">V. Proposed Arbitrator</w:t>
      </w:r>
    </w:p>
    <w:p>
      <w:pPr>
        <w:spacing w:after="60" w:before="60"/>
      </w:pPr>
      <w:r>
        <w:rPr>
          <w:sz w:val="22"/>
          <w:szCs w:val="22"/>
        </w:rPr>
        <w:t xml:space="preserve">Pursuant to Article 12 of the 2021 ICC Arbitration Rules, Claimant nominates as its arbitrator: Prof. Dr. Matthias Leistner, Ludwig Maximilian University, Munich, Germany. Prof. Leistner has confirmed his availability and independence.</w:t>
      </w:r>
    </w:p>
    <w:p>
      <w:pPr>
        <w:pStyle w:val="Heading2"/>
        <w:spacing w:after="120" w:before="300"/>
      </w:pPr>
      <w:r>
        <w:t xml:space="preserve">VI. Estimated Amount in Dispute</w:t>
      </w:r>
    </w:p>
    <w:p>
      <w:pPr>
        <w:spacing w:after="60" w:before="60"/>
      </w:pPr>
      <w:r>
        <w:rPr>
          <w:sz w:val="22"/>
          <w:szCs w:val="22"/>
        </w:rPr>
        <w:t xml:space="preserve">The aggregate amount in dispute, including principal and estimated interest to the date of this Request, is approximately EUR 5,500,000 (five million five hundred thousand euros).</w:t>
      </w:r>
    </w:p>
    <w:p>
      <w:pPr>
        <w:spacing w:after="60" w:before="60"/>
      </w:pPr>
    </w:p>
    <w:p>
      <w:pPr>
        <w:spacing w:after="60" w:before="60"/>
      </w:pPr>
      <w:r>
        <w:rPr>
          <w:sz w:val="22"/>
          <w:szCs w:val="22"/>
        </w:rPr>
        <w:t xml:space="preserve">Paris / Frankfurt am Main, 18 February 2026</w:t>
      </w:r>
    </w:p>
    <w:p>
      <w:pPr>
        <w:spacing w:after="60" w:before="60"/>
      </w:pPr>
    </w:p>
    <w:p>
      <w:pPr>
        <w:spacing w:after="60" w:before="60"/>
      </w:pPr>
      <w:r>
        <w:rPr>
          <w:sz w:val="22"/>
          <w:szCs w:val="22"/>
        </w:rPr>
        <w:t xml:space="preserve">For and on behalf of Werkmann Anlagentechnik AG:</w:t>
      </w:r>
    </w:p>
    <w:p>
      <w:pPr>
        <w:spacing w:after="60" w:before="60"/>
      </w:pPr>
    </w:p>
    <w:p>
      <w:pPr>
        <w:spacing w:after="60" w:before="60"/>
      </w:pPr>
      <w:r>
        <w:rPr>
          <w:sz w:val="22"/>
          <w:szCs w:val="22"/>
        </w:rPr>
        <w:t xml:space="preserve">RAin Dr. Carola Boekenkamp (LL.M. London)</w:t>
      </w:r>
    </w:p>
    <w:p>
      <w:pPr>
        <w:spacing w:after="60" w:before="60"/>
      </w:pPr>
      <w:r>
        <w:rPr>
          <w:sz w:val="22"/>
          <w:szCs w:val="22"/>
        </w:rPr>
        <w:t xml:space="preserve">Salzgitter, Boekenkamp &amp; Trautmannsdorf Rechtsanwaltsgesellschaft mbH</w:t>
      </w:r>
    </w:p>
    <w:p>
      <w:pPr>
        <w:spacing w:after="60" w:before="60"/>
      </w:pPr>
      <w:r>
        <w:rPr>
          <w:sz w:val="22"/>
          <w:szCs w:val="22"/>
        </w:rPr>
        <w:t xml:space="preserve">Taunusanlage 9, 60329 Frankfurt am Main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2026-05-30T16:46:07.630Z</dcterms:created>
  <dcterms:modified xsi:type="dcterms:W3CDTF">2026-05-30T16:46:07.630Z</dcterms:modified>
</cp:coreProperties>
</file>

<file path=docProps/custom.xml><?xml version="1.0" encoding="utf-8"?>
<Properties xmlns="http://schemas.openxmlformats.org/officeDocument/2006/custom-properties" xmlns:vt="http://schemas.openxmlformats.org/officeDocument/2006/docPropsVTypes"/>
</file>