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pPr>
      <w:r>
        <w:rPr>
          <w:b/>
          <w:bCs/>
          <w:sz w:val="22"/>
          <w:szCs w:val="22"/>
        </w:rPr>
        <w:t xml:space="preserve">Salzgitter, Boekenkamp &amp; Trautmannsdorf Rechtsanwaltsgesellschaft mbH</w:t>
      </w:r>
    </w:p>
    <w:p>
      <w:pPr>
        <w:spacing w:after="120"/>
      </w:pPr>
      <w:r>
        <w:rPr>
          <w:sz w:val="20"/>
          <w:szCs w:val="20"/>
        </w:rPr>
        <w:t xml:space="preserve">Taunusanlage 9 · 60329 Frankfurt am Main · Tel.: +49 69 4400-0</w:t>
      </w:r>
    </w:p>
    <w:p>
      <w:pPr>
        <w:spacing w:after="60" w:before="60"/>
      </w:pPr>
    </w:p>
    <w:p>
      <w:pPr>
        <w:spacing w:after="40"/>
      </w:pPr>
      <w:r>
        <w:rPr>
          <w:sz w:val="22"/>
          <w:szCs w:val="22"/>
        </w:rPr>
        <w:t xml:space="preserve">An das</w:t>
      </w:r>
    </w:p>
    <w:p>
      <w:pPr>
        <w:spacing w:after="40"/>
      </w:pPr>
      <w:r>
        <w:rPr>
          <w:b/>
          <w:bCs/>
          <w:sz w:val="22"/>
          <w:szCs w:val="22"/>
        </w:rPr>
        <w:t xml:space="preserve">Bundesamt für Wirtschaft und Ausfuhrkontrolle (BAFA)</w:t>
      </w:r>
    </w:p>
    <w:p>
      <w:pPr>
        <w:spacing w:after="40"/>
      </w:pPr>
      <w:r>
        <w:rPr>
          <w:sz w:val="22"/>
          <w:szCs w:val="22"/>
        </w:rPr>
        <w:t xml:space="preserve">Frankfurter Straße 29–31</w:t>
      </w:r>
    </w:p>
    <w:p>
      <w:pPr>
        <w:spacing w:after="200"/>
      </w:pPr>
      <w:r>
        <w:rPr>
          <w:sz w:val="22"/>
          <w:szCs w:val="22"/>
        </w:rPr>
        <w:t xml:space="preserve">65760 Eschborn</w:t>
      </w:r>
    </w:p>
    <w:p>
      <w:pPr>
        <w:spacing w:after="200"/>
        <w:jc w:val="right"/>
      </w:pPr>
      <w:r>
        <w:rPr>
          <w:sz w:val="22"/>
          <w:szCs w:val="22"/>
        </w:rPr>
        <w:t xml:space="preserve">Frankfurt am Main, 29. April 2026</w:t>
      </w:r>
    </w:p>
    <w:p>
      <w:pPr>
        <w:spacing w:after="60"/>
      </w:pPr>
      <w:r>
        <w:rPr>
          <w:b/>
          <w:bCs/>
          <w:sz w:val="22"/>
          <w:szCs w:val="22"/>
        </w:rPr>
        <w:t xml:space="preserve">Aktenzeichen: BL-22-4188/26</w:t>
      </w:r>
    </w:p>
    <w:p>
      <w:pPr>
        <w:spacing w:after="200"/>
      </w:pPr>
      <w:r>
        <w:rPr>
          <w:sz w:val="22"/>
          <w:szCs w:val="22"/>
        </w:rPr>
        <w:t xml:space="preserve">Unser Zeichen: SBT/DB/RPA/2026-0034</w:t>
      </w:r>
    </w:p>
    <w:p>
      <w:pPr>
        <w:pStyle w:val="Heading1"/>
        <w:spacing w:after="120" w:before="200"/>
      </w:pPr>
      <w:r>
        <w:rPr>
          <w:b/>
          <w:bCs/>
          <w:sz w:val="26"/>
          <w:szCs w:val="26"/>
        </w:rPr>
        <w:t xml:space="preserve">Stellungnahme zur Anhörung gemäß § 55 OWiG</w:t>
      </w:r>
    </w:p>
    <w:p>
      <w:pPr>
        <w:spacing w:after="40"/>
      </w:pPr>
      <w:r>
        <w:rPr>
          <w:sz w:val="22"/>
          <w:szCs w:val="22"/>
        </w:rPr>
        <w:t xml:space="preserve">in dem Ordnungswidrigkeitenverfahren gegen</w:t>
      </w:r>
    </w:p>
    <w:p>
      <w:pPr>
        <w:spacing w:after="40"/>
      </w:pPr>
      <w:r>
        <w:rPr>
          <w:b/>
          <w:bCs/>
          <w:sz w:val="22"/>
          <w:szCs w:val="22"/>
        </w:rPr>
        <w:t xml:space="preserve">Werkmann Anlagentechnik AG, Industriestraße 88, 68169 Mannheim,</w:t>
      </w:r>
    </w:p>
    <w:p>
      <w:pPr>
        <w:spacing w:after="200"/>
      </w:pPr>
      <w:r>
        <w:rPr>
          <w:sz w:val="22"/>
          <w:szCs w:val="22"/>
        </w:rPr>
        <w:t xml:space="preserve">vertreten durch RAin Dr. Carola Boekenkamp (LL.M. London)</w:t>
      </w:r>
    </w:p>
    <w:p>
      <w:pPr>
        <w:pStyle w:val="Heading2"/>
        <w:spacing w:after="120" w:before="300"/>
      </w:pPr>
      <w:r>
        <w:t xml:space="preserve">I. Mandatsanzeige und Vollmacht</w:t>
      </w:r>
    </w:p>
    <w:p>
      <w:pPr>
        <w:spacing w:after="60" w:before="60"/>
      </w:pPr>
      <w:r>
        <w:rPr>
          <w:sz w:val="22"/>
          <w:szCs w:val="22"/>
        </w:rPr>
        <w:t xml:space="preserve">Die unterzeichnende Kanzlei zeigt an, die Werkmann Anlagentechnik AG sowie ihren Geschäftsführer Dr. Hannes Werkmann-Lottermann persönlich in dem oben bezeichneten Verfahren zu vertreten. Eine ordnungsgemäße Vollmacht wird in Anlage 1 überreicht.</w:t>
      </w:r>
    </w:p>
    <w:p>
      <w:pPr>
        <w:spacing w:after="60" w:before="60"/>
      </w:pPr>
      <w:r>
        <w:rPr>
          <w:sz w:val="22"/>
          <w:szCs w:val="22"/>
        </w:rPr>
        <w:t xml:space="preserve">Wir bitten, sämtliche Zustellungen und Mitteilungen künftig ausschließlich an die unterzeichnende Kanzlei zu richten.</w:t>
      </w:r>
    </w:p>
    <w:p>
      <w:pPr>
        <w:pStyle w:val="Heading2"/>
        <w:spacing w:after="120" w:before="300"/>
      </w:pPr>
      <w:r>
        <w:t xml:space="preserve">II. Sachverhalt</w:t>
      </w:r>
    </w:p>
    <w:p>
      <w:pPr>
        <w:spacing w:after="60" w:before="60"/>
      </w:pPr>
      <w:r>
        <w:rPr>
          <w:sz w:val="22"/>
          <w:szCs w:val="22"/>
        </w:rPr>
        <w:t xml:space="preserve">Die Werkmann Anlagentechnik AG hat im Zeitraum August bis Oktober 2024 insgesamt drei Einheiten des Mikrofluidik-Reaktors MFR-3400X (Seriennummern MFR-3400X-0092 bis -0094) an die Spengler Engineering AG, Schwarztorstraße 48, 3007 Bern (Schweiz), geliefert. Vertragliche Grundlage war der Kaufvertrag WAT-2024-CH-0081. Die Spengler Engineering AG überreichte eine End-User-Certificate (EUC), in welcher sie die ausschließliche Eigennutzung des Geräts zu Forschungszwecken in der Schweiz bestätigte.</w:t>
      </w:r>
    </w:p>
    <w:p>
      <w:pPr>
        <w:spacing w:after="60" w:before="60"/>
      </w:pPr>
      <w:r>
        <w:rPr>
          <w:sz w:val="22"/>
          <w:szCs w:val="22"/>
        </w:rPr>
        <w:t xml:space="preserve">Werkmann war zum Zeitpunkt der Lieferung nicht bekannt und hatte keine Kenntnis davon, dass die Geräte über weitere Handelsstufen (Transcaucasia Trade GmbH, Zürich) an das Razi Vaccine and Serum Research Institute, Karaj, Iran, weitergeleitet würden. Diese Kenntnis erlangte die Mandantin erst im Februar 2026 durch eine interne Revision.</w:t>
      </w:r>
    </w:p>
    <w:p>
      <w:pPr>
        <w:pStyle w:val="Heading2"/>
        <w:spacing w:after="120" w:before="300"/>
      </w:pPr>
      <w:r>
        <w:t xml:space="preserve">III. Rechtliche Würdigung</w:t>
      </w:r>
    </w:p>
    <w:p>
      <w:pPr>
        <w:pStyle w:val="Heading3"/>
        <w:spacing w:after="120" w:before="300"/>
      </w:pPr>
      <w:r>
        <w:t xml:space="preserve">1. Zur Frage der Genehmigungspflicht (Anhang I VO (EU) 2021/821)</w:t>
      </w:r>
    </w:p>
    <w:p>
      <w:pPr>
        <w:spacing w:after="60" w:before="60"/>
      </w:pPr>
      <w:r>
        <w:rPr>
          <w:sz w:val="22"/>
          <w:szCs w:val="22"/>
        </w:rPr>
        <w:t xml:space="preserve">Der MFR-3400X ist in der gelieferten Ausführung nicht im Anhang I der Dual-Use-Verordnung (EU) 2021/821 (Dual-Use-VO) gelistet. Die technische Analyse (Sachverständigengutachten Dr. Hartmut Grebenstein, Anlage 3) belegt, dass insbesondere die Kategorie 2B350.g mangels ausreichenden Chromanteils des verwendeten Hastelloy C-276 nicht erfüllt ist. Eine Genehmigungspflicht nach Art. 3 Abs. 1 Dual-Use-VO bestand daher nicht.</w:t>
      </w:r>
    </w:p>
    <w:p>
      <w:pPr>
        <w:pStyle w:val="Heading3"/>
        <w:spacing w:after="120" w:before="300"/>
      </w:pPr>
      <w:r>
        <w:t xml:space="preserve">2. Zur Art-4-Prüfpflicht</w:t>
      </w:r>
    </w:p>
    <w:p>
      <w:pPr>
        <w:spacing w:after="60" w:before="60"/>
      </w:pPr>
      <w:r>
        <w:rPr>
          <w:sz w:val="22"/>
          <w:szCs w:val="22"/>
        </w:rPr>
        <w:t xml:space="preserve">Art. 4 Abs. 2 Dual-Use-VO verpflichtet den Ausführer zur Einholung einer Genehmigung, wenn er weiß oder wenn Anlass zur Annahme besteht, dass die betreffenden Güter für WMD-relevante Zwecke bestimmt sein könnten. Werkmann hat die interne Exportkontrollprüfung (Anlage 4) ordnungsgemäß durchgeführt und eine EUC eingeholt. Vorsatz ist ausgeschlossen. Leichtfertigkeit scheidet ebenfalls aus: Die Spengler Engineering AG war ein seit 2019 bekannter und bewährter Handelspartner; das EUC wies auf schweizerische Forschungsnutzung hin.</w:t>
      </w:r>
    </w:p>
    <w:p>
      <w:pPr>
        <w:pStyle w:val="Heading3"/>
        <w:spacing w:after="120" w:before="300"/>
      </w:pPr>
      <w:r>
        <w:t xml:space="preserve">3. Zu den eingeleiteten Maßnahmen</w:t>
      </w:r>
    </w:p>
    <w:p>
      <w:pPr>
        <w:spacing w:after="60" w:before="60"/>
      </w:pPr>
      <w:r>
        <w:rPr>
          <w:sz w:val="22"/>
          <w:szCs w:val="22"/>
        </w:rPr>
        <w:t xml:space="preserve">Unmittelbar nach Kenntniserlangung hat Werkmann sämtliche Unterlagen sichergestellt, eine externe forensische Buchprüfung (KPMG Law) eingeleitet und das Interne Compliance-Programm (ICP) vollständig überarbeitet. Der überarbeitete ICP-Bericht (Anlage 6) belegt die konsequente Reaktion der Mandantin.</w:t>
      </w:r>
    </w:p>
    <w:p>
      <w:pPr>
        <w:pStyle w:val="Heading2"/>
        <w:spacing w:after="120" w:before="300"/>
      </w:pPr>
      <w:r>
        <w:t xml:space="preserve">IV. Antrag</w:t>
      </w:r>
    </w:p>
    <w:p>
      <w:pPr>
        <w:spacing w:after="60" w:before="60"/>
      </w:pPr>
      <w:r>
        <w:rPr>
          <w:sz w:val="22"/>
          <w:szCs w:val="22"/>
        </w:rPr>
        <w:t xml:space="preserve">Auf der Grundlage der vorstehenden Ausführungen beantragen wir:</w:t>
      </w:r>
    </w:p>
    <w:p>
      <w:pPr>
        <w:spacing w:after="60" w:before="60"/>
        <w:ind w:left="720"/>
      </w:pPr>
      <w:r>
        <w:rPr>
          <w:sz w:val="22"/>
          <w:szCs w:val="22"/>
        </w:rPr>
        <w:t xml:space="preserve">1. Das Ordnungswidrigkeitenverfahren einzustellen, da kein schuldhafter Verstoß gegen Art. 3 oder Art. 4 der Dual-Use-VO (EU) 2021/821 vorliegt.</w:t>
      </w:r>
    </w:p>
    <w:p>
      <w:pPr>
        <w:spacing w:after="60" w:before="60"/>
        <w:ind w:left="720"/>
      </w:pPr>
      <w:r>
        <w:rPr>
          <w:sz w:val="22"/>
          <w:szCs w:val="22"/>
        </w:rPr>
        <w:t xml:space="preserve">2. Hilfsweise: Die Geldbuße auf das untere Drittel des gesetzlichen Rahmens zu beschränken und die vollständige Kooperation sowie die eingeleiteten ICP-Maßnahmen als erhebliche Milderungsgründe zu berücksichtigen.</w:t>
      </w:r>
    </w:p>
    <w:p>
      <w:pPr>
        <w:spacing w:after="60" w:before="60"/>
      </w:pPr>
    </w:p>
    <w:p>
      <w:pPr>
        <w:spacing w:after="60" w:before="60"/>
      </w:pPr>
      <w:r>
        <w:rPr>
          <w:sz w:val="22"/>
          <w:szCs w:val="22"/>
        </w:rPr>
        <w:t xml:space="preserve">Frankfurt am Main, 29. April 2026</w:t>
      </w:r>
    </w:p>
    <w:p>
      <w:pPr>
        <w:spacing w:after="60" w:before="60"/>
      </w:pPr>
    </w:p>
    <w:p>
      <w:pPr>
        <w:spacing w:after="60" w:before="60"/>
      </w:pPr>
      <w:r>
        <w:rPr>
          <w:sz w:val="22"/>
          <w:szCs w:val="22"/>
        </w:rPr>
        <w:t xml:space="preserve">Salzgitter, Boekenkamp &amp; Trautmannsdorf Rechtsanwaltsgesellschaft mbH</w:t>
      </w:r>
    </w:p>
    <w:p>
      <w:pPr>
        <w:spacing w:after="60" w:before="60"/>
      </w:pPr>
    </w:p>
    <w:p>
      <w:pPr>
        <w:spacing w:after="60" w:before="60"/>
      </w:pPr>
      <w:r>
        <w:rPr>
          <w:sz w:val="22"/>
          <w:szCs w:val="22"/>
        </w:rPr>
        <w:t xml:space="preserve">RAin Dr. Carola Boekenkamp (LL.M. London)</w:t>
      </w:r>
    </w:p>
    <w:p>
      <w:pPr>
        <w:spacing w:after="60" w:before="60"/>
      </w:pPr>
      <w:r>
        <w:rPr>
          <w:sz w:val="22"/>
          <w:szCs w:val="22"/>
        </w:rPr>
        <w:t xml:space="preserve">Fachanwältin für Internationales Wirtschaftsrecht</w:t>
      </w:r>
    </w:p>
    <w:p>
      <w:pPr>
        <w:spacing w:after="60" w:before="60"/>
      </w:pPr>
    </w:p>
    <w:p>
      <w:pPr>
        <w:pStyle w:val="Heading2"/>
        <w:spacing w:after="120" w:before="300"/>
      </w:pPr>
      <w:r>
        <w:t xml:space="preserve">Anlagenverzeichnis</w:t>
      </w:r>
    </w:p>
    <w:p>
      <w:pPr>
        <w:spacing w:after="60" w:before="60"/>
      </w:pPr>
      <w:r>
        <w:rPr>
          <w:sz w:val="22"/>
          <w:szCs w:val="22"/>
        </w:rPr>
        <w:t xml:space="preserve">Anlage 1: Vollmacht (notariell beglaubigt)</w:t>
      </w:r>
    </w:p>
    <w:p>
      <w:pPr>
        <w:spacing w:after="60" w:before="60"/>
      </w:pPr>
      <w:r>
        <w:rPr>
          <w:sz w:val="22"/>
          <w:szCs w:val="22"/>
        </w:rPr>
        <w:t xml:space="preserve">Anlage 2: Technisches Datenblatt MFR-3400X (Werkmann Doc. TDB-MFR-3400X-Rev.4)</w:t>
      </w:r>
    </w:p>
    <w:p>
      <w:pPr>
        <w:spacing w:after="60" w:before="60"/>
      </w:pPr>
      <w:r>
        <w:rPr>
          <w:sz w:val="22"/>
          <w:szCs w:val="22"/>
        </w:rPr>
        <w:t xml:space="preserve">Anlage 3: Sachverständigengutachten Dr. Hartmut Grebenstein, Listungsanalyse Dual-Use-VO</w:t>
      </w:r>
    </w:p>
    <w:p>
      <w:pPr>
        <w:spacing w:after="60" w:before="60"/>
      </w:pPr>
      <w:r>
        <w:rPr>
          <w:sz w:val="22"/>
          <w:szCs w:val="22"/>
        </w:rPr>
        <w:t xml:space="preserve">Anlage 4: Interne Exportkontrollprüfung vom 02.07.2024</w:t>
      </w:r>
    </w:p>
    <w:p>
      <w:pPr>
        <w:spacing w:after="60" w:before="60"/>
      </w:pPr>
      <w:r>
        <w:rPr>
          <w:sz w:val="22"/>
          <w:szCs w:val="22"/>
        </w:rPr>
        <w:t xml:space="preserve">Anlage 5: End-User Certificate Spengler Engineering AG, 14.06.2024</w:t>
      </w:r>
    </w:p>
    <w:p>
      <w:pPr>
        <w:spacing w:after="60" w:before="60"/>
      </w:pPr>
      <w:r>
        <w:rPr>
          <w:sz w:val="22"/>
          <w:szCs w:val="22"/>
        </w:rPr>
        <w:t xml:space="preserve">Anlage 6: ICP-Audit-Bericht KPMG Law (Kurzfassung), April 2026</w:t>
      </w:r>
    </w:p>
    <w:p>
      <w:pPr>
        <w:spacing w:after="60" w:before="60"/>
      </w:pPr>
      <w:r>
        <w:rPr>
          <w:sz w:val="22"/>
          <w:szCs w:val="22"/>
        </w:rPr>
        <w:t xml:space="preserve">Anlage 7: ICP-Überarbeitungsplan mit Umsetzungsstand</w:t>
      </w:r>
    </w:p>
    <w:p>
      <w:pPr>
        <w:spacing w:after="60" w:before="60"/>
      </w:pPr>
      <w:r>
        <w:rPr>
          <w:sz w:val="22"/>
          <w:szCs w:val="22"/>
        </w:rPr>
        <w:t xml:space="preserve">Anlage 8: Nachweise Mitarbeiterschulungen März–April 2026</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2026-05-30T16:46:07.559Z</dcterms:created>
  <dcterms:modified xsi:type="dcterms:W3CDTF">2026-05-30T16:46:07.559Z</dcterms:modified>
</cp:coreProperties>
</file>

<file path=docProps/custom.xml><?xml version="1.0" encoding="utf-8"?>
<Properties xmlns="http://schemas.openxmlformats.org/officeDocument/2006/custom-properties" xmlns:vt="http://schemas.openxmlformats.org/officeDocument/2006/docPropsVTypes"/>
</file>