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VERWALTUNGSGERICHT HANNOVER</w:t>
      </w:r>
    </w:p>
    <w:p>
      <w:r>
        <w:t xml:space="preserve"> </w:t>
      </w:r>
    </w:p>
    <w:p>
      <w:pPr>
        <w:pStyle w:val="Heading1"/>
        <w:jc w:val="center"/>
      </w:pPr>
      <w:r>
        <w:t xml:space="preserve">ANTRAG AUF ANORDNUNG DER AUFSCHIEBENDEN WIRKUNG</w:t>
      </w:r>
    </w:p>
    <w:p>
      <w:pPr>
        <w:jc w:val="center"/>
      </w:pPr>
      <w:r>
        <w:t xml:space="preserve">gemäß § 80 Abs. 5 VwGO i.V.m. § 34a Abs. 2 AsylG</w:t>
      </w:r>
    </w:p>
    <w:p>
      <w:r>
        <w:t xml:space="preserve"> </w:t>
      </w:r>
    </w:p>
    <w:p>
      <w:r>
        <w:rPr>
          <w:b/>
          <w:bCs/>
        </w:rPr>
        <w:t xml:space="preserve">Antragsteller: </w:t>
      </w:r>
      <w:r>
        <w:t xml:space="preserve">Reza Amiri u.a. (Kläger zu 1–6 im Verfahren 4 A 4188/26)</w:t>
      </w:r>
    </w:p>
    <w:p>
      <w:r>
        <w:rPr>
          <w:b/>
          <w:bCs/>
        </w:rPr>
        <w:t xml:space="preserve">Antragsgegner: </w:t>
      </w:r>
      <w:r>
        <w:t xml:space="preserve">Bundesrepublik Deutschland (BAMF)</w:t>
      </w:r>
    </w:p>
    <w:p>
      <w:r>
        <w:rPr>
          <w:b/>
          <w:bCs/>
        </w:rPr>
        <w:t xml:space="preserve">Prozessbevollmächtigte: </w:t>
      </w:r>
      <w:r>
        <w:t xml:space="preserve">RAin Veronika Kollatz-Ahnen, Lister Meile 44, 30161 Hannover</w:t>
      </w:r>
    </w:p>
    <w:p>
      <w:r>
        <w:t xml:space="preserve"> </w:t>
      </w:r>
    </w:p>
    <w:p>
      <w:pPr>
        <w:jc w:val="center"/>
      </w:pPr>
      <w:r>
        <w:t xml:space="preserve">— — —</w:t>
      </w:r>
    </w:p>
    <w:p>
      <w:r>
        <w:t xml:space="preserve"> </w:t>
      </w:r>
    </w:p>
    <w:p>
      <w:pPr>
        <w:pStyle w:val="Heading2"/>
      </w:pPr>
      <w:r>
        <w:t xml:space="preserve">I. Antrag</w:t>
      </w:r>
    </w:p>
    <w:p>
      <w:r>
        <w:t xml:space="preserve"> </w:t>
      </w:r>
    </w:p>
    <w:p>
      <w:r>
        <w:t xml:space="preserve">Die Antragsteller beantragen, die aufschiebende Wirkung der Klage VG Hannover 4 A 4188/26 gegen die Abschiebungsanordnungen in Ziffer 4 des BAMF-Bescheids vom 21.03.2026 (ZA 9-44-188-2026) anzuordnen.</w:t>
      </w:r>
    </w:p>
    <w:p>
      <w:r>
        <w:t xml:space="preserve"> </w:t>
      </w:r>
    </w:p>
    <w:p>
      <w:pPr>
        <w:pStyle w:val="Heading2"/>
      </w:pPr>
      <w:r>
        <w:t xml:space="preserve">II. Begründung</w:t>
      </w:r>
    </w:p>
    <w:p>
      <w:r>
        <w:t xml:space="preserve"> </w:t>
      </w:r>
    </w:p>
    <w:p>
      <w:pPr>
        <w:pStyle w:val="Heading3"/>
      </w:pPr>
      <w:r>
        <w:t xml:space="preserve">1. Verletzung der Familieneinheit durch gespaltene Überstellungsverfügung</w:t>
      </w:r>
    </w:p>
    <w:p>
      <w:r>
        <w:t xml:space="preserve"> </w:t>
      </w:r>
    </w:p>
    <w:p>
      <w:r>
        <w:t xml:space="preserve">Die Überstellungsverfügung sieht vor, den Antragsteller zu 1 nach Kroatien und die Antragstellerinnen und Antragsteller zu 2–6 nach Griechenland zu überstellen. Diese Aufspaltung der Kernfamilie verletzt Art. 11 Dublin-III-VO sowie Art. 7 GRCh (Recht auf Familienleben) und Art. 8 EMRK. Der EuGH (Rs. C-578/16, C.K. u.a., Urt. v. 16.02.2017) hat klargestellt, dass eine Überstellung trotz formaler Zuständigkeit unzulässig ist, wenn sie zu einer Grundrechtsverletzung führt.</w:t>
      </w:r>
    </w:p>
    <w:p>
      <w:r>
        <w:t xml:space="preserve"> </w:t>
      </w:r>
    </w:p>
    <w:p>
      <w:pPr>
        <w:pStyle w:val="Heading3"/>
      </w:pPr>
      <w:r>
        <w:t xml:space="preserve">2. Systemische Mängel in Griechenland</w:t>
      </w:r>
    </w:p>
    <w:p>
      <w:r>
        <w:t xml:space="preserve"> </w:t>
      </w:r>
    </w:p>
    <w:p>
      <w:r>
        <w:t xml:space="preserve">Für eine siebenköpfige Familie mit einem schwerkranken Säugling (kongenitaler Herzfehler, OP-Termin 15.07.2026 MHH Hannover) sind die Aufnahmebedingungen in Griechenland nicht sichergestellt. UNHCR (2024) berichtet von unzureichenden Familienunterkünften und fehlender medizinischer Versorgung für vulnerable Personen. Die Überstellung nach Griechenland würde den notwendigen OP-Termin des Antragstellers zu 6 gefährden und gegen § 60 Abs. 7 AufenthG sowie Art. 4 GRCh verstoßen.</w:t>
      </w:r>
    </w:p>
    <w:p>
      <w:r>
        <w:t xml:space="preserve"> </w:t>
      </w:r>
    </w:p>
    <w:p>
      <w:pPr>
        <w:pStyle w:val="Heading3"/>
      </w:pPr>
      <w:r>
        <w:t xml:space="preserve">3. Systemische Mängel in Kroatien</w:t>
      </w:r>
    </w:p>
    <w:p>
      <w:r>
        <w:t xml:space="preserve"> </w:t>
      </w:r>
    </w:p>
    <w:p>
      <w:r>
        <w:t xml:space="preserve">Kroatien wird wegen systematischer Pushback-Praktiken an der Außengrenze zu Bosnien-Herzegowina kritisiert (UNHCR 2025, BVMN-Bericht 2025). Eine Rücküberstellung des Antragstellers zu 1 nach Kroatien birgt das reale Risiko einer Kettenabschiebung, was Art. 33 GFK und Art. 19 GRCh verletzt.</w:t>
      </w:r>
    </w:p>
    <w:p>
      <w:r>
        <w:t xml:space="preserve"> </w:t>
      </w:r>
    </w:p>
    <w:p>
      <w:pPr>
        <w:pStyle w:val="Heading2"/>
      </w:pPr>
      <w:r>
        <w:t xml:space="preserve">III. Interessenabwägung</w:t>
      </w:r>
    </w:p>
    <w:p>
      <w:r>
        <w:t xml:space="preserve"> </w:t>
      </w:r>
    </w:p>
    <w:p>
      <w:r>
        <w:t xml:space="preserve">Die Interessenabwägung fällt eindeutig zugunsten der Antragsteller aus: Das Leben eines 18 Monate alten Säuglings mit schwerem Herzfehler, der unmittelbare Operationsbedarf und die drohende Familientrennung überwiegen das abstrakte öffentliche Interesse an der sofortigen Vollziehung der Überstellungsverfügung.</w:t>
      </w:r>
    </w:p>
    <w:p>
      <w:r>
        <w:t xml:space="preserve"> </w:t>
      </w:r>
    </w:p>
    <w:p>
      <w:pPr>
        <w:pStyle w:val="Heading2"/>
      </w:pPr>
      <w:r>
        <w:t xml:space="preserve">IV. Beweisanlagen</w:t>
      </w:r>
    </w:p>
    <w:p>
      <w:r>
        <w:t xml:space="preserve"> </w:t>
      </w:r>
    </w:p>
    <w:p>
      <w:r>
        <w:t xml:space="preserve">Anlage 1: Ärztliches Attest MHH, Prof. Dr. Brauner-Scholl, 15.03.2026</w:t>
      </w:r>
    </w:p>
    <w:p>
      <w:r>
        <w:t xml:space="preserve">Anlage 2: UNHCR-Bericht Griechenland 2024 (Auszug medizinische Versorgung)</w:t>
      </w:r>
    </w:p>
    <w:p>
      <w:r>
        <w:t xml:space="preserve">Anlage 3: BVMN-Bericht Kroatien 2025 (Pushback-Dokumentation)</w:t>
      </w:r>
    </w:p>
    <w:p>
      <w:r>
        <w:t xml:space="preserve">Anlage 4: Duldungsbescheid Ausländerbehörde Region Hannover, 02.04.2026</w:t>
      </w:r>
    </w:p>
    <w:p>
      <w:r>
        <w:t xml:space="preserve"> </w:t>
      </w:r>
    </w:p>
    <w:p>
      <w:pPr>
        <w:jc w:val="right"/>
      </w:pPr>
      <w:r>
        <w:t xml:space="preserve">Hannover, den 22. April 2026</w:t>
      </w:r>
    </w:p>
    <w:p>
      <w:r>
        <w:t xml:space="preserve"> </w:t>
      </w:r>
    </w:p>
    <w:p>
      <w:pPr>
        <w:jc w:val="right"/>
      </w:pPr>
      <w:r>
        <w:t xml:space="preserve">______________________________</w:t>
      </w:r>
    </w:p>
    <w:p>
      <w:pPr>
        <w:jc w:val="right"/>
      </w:pPr>
      <w:r>
        <w:t xml:space="preserve">RAin Veronika Kollatz-Ahnen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Eilantrag § 80 Abs. 5 VwGO — Dublin-Überstellung</dc:title>
  <dc:creator>RAin Veronika Kollatz-Ahnen</dc:creator>
  <dc:description>Antrag auf Anordnung der aufschiebenden Wirkung gegen Dublin-Überstellungsverfügung</dc:description>
  <cp:lastModifiedBy>Un-named</cp:lastModifiedBy>
  <cp:revision>1</cp:revision>
  <dcterms:created xsi:type="dcterms:W3CDTF">2026-05-30T16:45:01.658Z</dcterms:created>
  <dcterms:modified xsi:type="dcterms:W3CDTF">2026-05-30T16:45:01.658Z</dcterms:modified>
</cp:coreProperties>
</file>

<file path=docProps/custom.xml><?xml version="1.0" encoding="utf-8"?>
<Properties xmlns="http://schemas.openxmlformats.org/officeDocument/2006/custom-properties" xmlns:vt="http://schemas.openxmlformats.org/officeDocument/2006/docPropsVTypes"/>
</file>