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FTO-Recherchebericht (Final)</w:t>
      </w:r>
    </w:p>
    <w:p>
      <w:pPr>
        <w:pStyle w:val="Heading1"/>
      </w:pPr>
      <w:r>
        <w:t xml:space="preserve">Windsysteme Norderhof AG — Rotorblattheizung IceFree v3</w:t>
      </w:r>
    </w:p>
    <w:p>
      <w:r>
        <w:rPr>
          <w:rFonts w:ascii="Calibri" w:cs="Calibri" w:eastAsia="Calibri" w:hAnsi="Calibri"/>
          <w:b/>
          <w:bCs/>
        </w:rPr>
        <w:t xml:space="preserve">Kanzlei: </w:t>
      </w:r>
      <w:r>
        <w:rPr>
          <w:rFonts w:ascii="Calibri" w:cs="Calibri" w:eastAsia="Calibri" w:hAnsi="Calibri"/>
        </w:rPr>
        <w:t xml:space="preserve">Stadter &amp; Eppendorfer PartG mbB, Neuer Wall 44, 20354 Hamburg</w:t>
      </w:r>
    </w:p>
    <w:p>
      <w:r>
        <w:rPr>
          <w:rFonts w:ascii="Calibri" w:cs="Calibri" w:eastAsia="Calibri" w:hAnsi="Calibri"/>
          <w:b/>
          <w:bCs/>
        </w:rPr>
        <w:t xml:space="preserve">AZ: </w:t>
      </w:r>
      <w:r>
        <w:rPr>
          <w:rFonts w:ascii="Calibri" w:cs="Calibri" w:eastAsia="Calibri" w:hAnsi="Calibri"/>
        </w:rPr>
        <w:t xml:space="preserve">SE-2026-FTO-0717</w:t>
      </w:r>
    </w:p>
    <w:p>
      <w:r>
        <w:rPr>
          <w:rFonts w:ascii="Calibri" w:cs="Calibri" w:eastAsia="Calibri" w:hAnsi="Calibri"/>
          <w:b/>
          <w:bCs/>
        </w:rPr>
        <w:t xml:space="preserve">Datum: </w:t>
      </w:r>
      <w:r>
        <w:rPr>
          <w:rFonts w:ascii="Calibri" w:cs="Calibri" w:eastAsia="Calibri" w:hAnsi="Calibri"/>
        </w:rPr>
        <w:t xml:space="preserve">30. April 2026</w:t>
      </w:r>
    </w:p>
    <w:p>
      <w:r>
        <w:rPr>
          <w:rFonts w:ascii="Calibri" w:cs="Calibri" w:eastAsia="Calibri" w:hAnsi="Calibri"/>
          <w:b/>
          <w:bCs/>
        </w:rPr>
        <w:t xml:space="preserve">Bearbeitung: </w:t>
      </w:r>
      <w:r>
        <w:rPr>
          <w:rFonts w:ascii="Calibri" w:cs="Calibri" w:eastAsia="Calibri" w:hAnsi="Calibri"/>
        </w:rPr>
        <w:t xml:space="preserve">PA Dr. Eveline Stadter-Birkenhain (federführend), PA Dr. Jonas Eppendorfer</w:t>
      </w:r>
    </w:p>
    <w:p/>
    <w:p>
      <w:pPr>
        <w:pStyle w:val="Heading1"/>
      </w:pPr>
      <w:r>
        <w:t xml:space="preserve">1. Zusammenfassung (Executive Summary)</w:t>
      </w:r>
    </w:p>
    <w:p>
      <w:r>
        <w:rPr>
          <w:rFonts w:ascii="Calibri" w:cs="Calibri" w:eastAsia="Calibri" w:hAnsi="Calibri"/>
          <w:sz w:val="22"/>
          <w:szCs w:val="22"/>
        </w:rPr>
        <w:t xml:space="preserve">Die Freedom-to-Operate-Analyse für die Rotorblattheizung IceFree v3 der Windsysteme Norderhof AG ergibt ein erhebliches Verletzungsrisiko in allen drei geplanten Märkten (DE/EU, USA, China). Das kritischste Hindernispatent ist EP 3 218 922 B1 der Vellbruck Energietechnik GmbH, Oldenburg, das alle wesentlichen technischen Merkmale von IceFree v3 (Ansprüche 1, 13, 21) abdeckt. Zusätzlich blockieren zwei Vestas-Patente den US-Markt. Für China besteht ein erhöhtes strukturelles Rechercherisiko durch unveröffentlichte Anmeldungen. Die Kanzlei empfiehlt Szenario A: Lizenznahme von Vellbruck unter FRAND-Konditionen als Primärstrategie, flankiert durch die Vorbereitung einer Nichtigkeitsklage vor dem BPatG als Druckmittel und Fallback.</w:t>
      </w:r>
    </w:p>
    <w:p/>
    <w:p>
      <w:pPr>
        <w:pStyle w:val="Heading1"/>
      </w:pPr>
      <w:r>
        <w:t xml:space="preserve">2. Merkmalsvergleich Anspruch 1 EP 3 218 922 B1 vs. IceFree v3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Merkmal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Anspruch 1 Vellbruck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IceFree v3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Identität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Risiko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M1 — Oberbegriff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Elektrotherm. Heizsystem WKA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IceFree v3 elektrotherm. System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ROT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M2 — Heizzonen (≥3)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Mind. 3 Zonen, diff. Leistung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4 Zonen (A–D), 8/6/3/0 kW/m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ROT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M3 — CFK-Material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Kohlenstoffbasiert, integriert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Kohlefaservlies, VARTM-laminiert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ROT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M4 — Kapaz. Sensor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Kapaz. Sensoranordnung Eisdicke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Kapaz. Sensoren, 3/Zone, 0–30 mm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ROT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M5 — Kontaktlos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Kontaktlose Übertragung stat.→rot.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Induktiver Übertrager, 50 Hz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ROT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M6 — Steuereinheit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Zonale Aktivierung nach Sensorwert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Edge-AI Box, Zonen-Relais-Steuerung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JA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ROT</w:t>
            </w:r>
          </w:p>
        </w:tc>
      </w:tr>
      <w:tr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M10 — Indukt. 20–200 kHz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Frequenz 20–200 kHz (Unteranspr. 6)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50 Hz — Unteranspruch NICHT erfüllt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NEIN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GRÜN</w:t>
            </w:r>
          </w:p>
        </w:tc>
      </w:tr>
    </w:tbl>
    <w:p/>
    <w:p>
      <w:pPr>
        <w:pStyle w:val="Heading1"/>
      </w:pPr>
      <w:r>
        <w:t xml:space="preserve">3. FTO-Risikomatrix — Alle identifizierten Hindernispatente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Patent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Inhaber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Markt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Relevanz</w:t>
            </w:r>
          </w:p>
        </w:tc>
        <w:tc>
          <w:tcPr>
            <w:shd w:fill="D5E8EE" w:val="clear"/>
          </w:tcPr>
          <w:p>
            <w:r>
              <w:rPr>
                <w:rFonts w:ascii="Calibri" w:cs="Calibri" w:eastAsia="Calibri" w:hAnsi="Calibri"/>
                <w:b/>
                <w:bCs/>
                <w:sz w:val="20"/>
                <w:szCs w:val="20"/>
              </w:rPr>
              <w:t xml:space="preserve">Status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EP 3 218 922 B1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Vellbruck Energietechnik GmbH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DE/EU/NO/SE/DK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ROT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Kritisch — Lizenz/NK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US 10 612 514 B2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Vestas Wind Systems A/S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USA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ROT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Kritisch — IPR/Lizenz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US 11 002 248 B2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Vestas Wind Systems A/S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USA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ROT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Kritisch — IPR/Lizenz</w:t>
            </w:r>
          </w:p>
        </w:tc>
      </w:tr>
      <w:tr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CN 116 085 192 B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Ming Yang Smart Energy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CN (vorläufig)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ROT*</w:t>
            </w:r>
          </w:p>
        </w:tc>
        <w:tc>
          <w:tcPr>
            <w:shd w:fill="FFD7D7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CN-Anwalt ausstehend</w:t>
            </w:r>
          </w:p>
        </w:tc>
      </w:tr>
      <w:tr>
        <w:tc>
          <w:tcPr>
            <w:shd w:fill="FFF3CD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DE 10 2014 223 614 B4</w:t>
            </w:r>
          </w:p>
        </w:tc>
        <w:tc>
          <w:tcPr>
            <w:shd w:fill="FFF3CD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Nordex Energy SE</w:t>
            </w:r>
          </w:p>
        </w:tc>
        <w:tc>
          <w:tcPr>
            <w:shd w:fill="FFF3CD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DE</w:t>
            </w:r>
          </w:p>
        </w:tc>
        <w:tc>
          <w:tcPr>
            <w:shd w:fill="FFF3CD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GELB</w:t>
            </w:r>
          </w:p>
        </w:tc>
        <w:tc>
          <w:tcPr>
            <w:shd w:fill="FFF3CD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Vertiefte Prüfung</w:t>
            </w:r>
          </w:p>
        </w:tc>
      </w:tr>
      <w:tr>
        <w:tc>
          <w:tcPr>
            <w:shd w:fill="FFF3CD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EP 3 127 458 B1</w:t>
            </w:r>
          </w:p>
        </w:tc>
        <w:tc>
          <w:tcPr>
            <w:shd w:fill="FFF3CD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Vellbruck Energietechnik GmbH</w:t>
            </w:r>
          </w:p>
        </w:tc>
        <w:tc>
          <w:tcPr>
            <w:shd w:fill="FFF3CD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DE/EU</w:t>
            </w:r>
          </w:p>
        </w:tc>
        <w:tc>
          <w:tcPr>
            <w:shd w:fill="FFF3CD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GELB</w:t>
            </w:r>
          </w:p>
        </w:tc>
        <w:tc>
          <w:tcPr>
            <w:shd w:fill="FFF3CD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Schleifring differenziert</w:t>
            </w:r>
          </w:p>
        </w:tc>
      </w:tr>
      <w:tr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EP 2 920 455 B1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Nordex Energy GmbH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DE/EU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GRÜN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Kein FTO-Risiko</w:t>
            </w:r>
          </w:p>
        </w:tc>
      </w:tr>
      <w:tr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EP 3 530 943 B1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Siemens Gamesa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DE/EU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GRÜN</w:t>
            </w:r>
          </w:p>
        </w:tc>
        <w:tc>
          <w:tcPr>
            <w:shd w:fill="D4EDDA" w:val="clear"/>
          </w:tcPr>
          <w:p>
            <w:r>
              <w:rPr>
                <w:rFonts w:ascii="Calibri" w:cs="Calibri" w:eastAsia="Calibri" w:hAnsi="Calibri"/>
                <w:b w:val="false"/>
                <w:bCs w:val="false"/>
                <w:sz w:val="20"/>
                <w:szCs w:val="20"/>
              </w:rPr>
              <w:t xml:space="preserve">Piezo — anderes Prinzip</w:t>
            </w:r>
          </w:p>
        </w:tc>
      </w:tr>
    </w:tbl>
    <w:p/>
    <w:p>
      <w:pPr>
        <w:pStyle w:val="Heading1"/>
      </w:pPr>
      <w:r>
        <w:t xml:space="preserve">4. Nichtigkeitsanalyse EP 3 218 922 B1</w:t>
      </w:r>
    </w:p>
    <w:p>
      <w:r>
        <w:rPr>
          <w:rFonts w:ascii="Calibri" w:cs="Calibri" w:eastAsia="Calibri" w:hAnsi="Calibri"/>
          <w:b/>
          <w:bCs/>
        </w:rPr>
        <w:t xml:space="preserve">Neuheitsangriff: </w:t>
      </w:r>
      <w:r>
        <w:rPr>
          <w:rFonts w:ascii="Calibri" w:cs="Calibri" w:eastAsia="Calibri" w:hAnsi="Calibri"/>
        </w:rPr>
        <w:t xml:space="preserve">Kein Einzeldokument offenbart alle 6 Merkmale des Anspruchs 1. Das Patent ist neuheitsbeständig nach aktuellem Recherchestand.</w:t>
      </w:r>
    </w:p>
    <w:p>
      <w:r>
        <w:rPr>
          <w:rFonts w:ascii="Calibri" w:cs="Calibri" w:eastAsia="Calibri" w:hAnsi="Calibri"/>
          <w:b/>
          <w:bCs/>
        </w:rPr>
        <w:t xml:space="preserve">Erfinderische-Tätigkeit-Angriff: </w:t>
      </w:r>
      <w:r>
        <w:rPr>
          <w:rFonts w:ascii="Calibri" w:cs="Calibri" w:eastAsia="Calibri" w:hAnsi="Calibri"/>
        </w:rPr>
        <w:t xml:space="preserve">PSA-Analyse (D3 + D4 + D6 + WO 2010/086406) ergibt 50–60 % Erfolgsaussicht einer Nichtigkeitsklage. Beauftragung SV Prof. Dr.-Ing. Klaus Lammers (TU Hamburg) empfohlen.</w:t>
      </w:r>
    </w:p>
    <w:p/>
    <w:p>
      <w:pPr>
        <w:pStyle w:val="Heading1"/>
      </w:pPr>
      <w:r>
        <w:t xml:space="preserve">5. Handlungsempfehlungen</w:t>
      </w:r>
    </w:p>
    <w:p>
      <w:r>
        <w:rPr>
          <w:rFonts w:ascii="Calibri" w:cs="Calibri" w:eastAsia="Calibri" w:hAnsi="Calibri"/>
          <w:b/>
          <w:bCs/>
        </w:rPr>
        <w:t xml:space="preserve">Szenario A (EMPFOHLEN): </w:t>
      </w:r>
      <w:r>
        <w:rPr>
          <w:rFonts w:ascii="Calibri" w:cs="Calibri" w:eastAsia="Calibri" w:hAnsi="Calibri"/>
        </w:rPr>
        <w:t xml:space="preserve">Lizenznahme Vellbruck EP 3 218 922 B1 (FRAND, 3 % Lizenzsatz) + Nichtigkeitsklage BPatG als Parallelpfad. Markteintritt Q3 2026 erreichbar.</w:t>
      </w:r>
    </w:p>
    <w:p>
      <w:r>
        <w:rPr>
          <w:rFonts w:ascii="Calibri" w:cs="Calibri" w:eastAsia="Calibri" w:hAnsi="Calibri"/>
          <w:b/>
          <w:bCs/>
        </w:rPr>
        <w:t xml:space="preserve">Szenario B: </w:t>
      </w:r>
      <w:r>
        <w:rPr>
          <w:rFonts w:ascii="Calibri" w:cs="Calibri" w:eastAsia="Calibri" w:hAnsi="Calibri"/>
        </w:rPr>
        <w:t xml:space="preserve">Nichtigkeitsklage BPatG als Primärstrategie. Markteintrittsverzögerung auf Q4 2026/Q1 2027. Verletzungsrisiko während Klageverfahren.</w:t>
      </w:r>
    </w:p>
    <w:p>
      <w:r>
        <w:rPr>
          <w:rFonts w:ascii="Calibri" w:cs="Calibri" w:eastAsia="Calibri" w:hAnsi="Calibri"/>
          <w:b/>
          <w:bCs/>
        </w:rPr>
        <w:t xml:space="preserve">Szenario C: </w:t>
      </w:r>
      <w:r>
        <w:rPr>
          <w:rFonts w:ascii="Calibri" w:cs="Calibri" w:eastAsia="Calibri" w:hAnsi="Calibri"/>
        </w:rPr>
        <w:t xml:space="preserve">Technisches Redesign (Design-Around). Kostenintensiv (EUR 1,8–2,4 Mio.), keine vollständige FTO-Garantie.</w:t>
      </w:r>
    </w:p>
    <w:p/>
    <w:p>
      <w:pPr>
        <w:pStyle w:val="Heading2"/>
      </w:pPr>
      <w:r>
        <w:t xml:space="preserve">6. Quellen</w:t>
      </w:r>
    </w:p>
    <w:p>
      <w:r>
        <w:rPr>
          <w:rFonts w:ascii="Calibri" w:cs="Calibri" w:eastAsia="Calibri" w:hAnsi="Calibri"/>
          <w:sz w:val="18"/>
          <w:szCs w:val="18"/>
        </w:rPr>
        <w:t xml:space="preserve">Rechtliche Grundlagen: PatG §§ 1–14, 24, 139, 140a; EPÜ Art. 52–57, 69; BGH X ZR 156/12 (Äquivalenz). Datenbanken: Espacenet (https://worldwide.espacenet.com), DEPATISnet (https://depatisnet.dpma.de), Google Patents (https://patents.google.com). Rechtsprechung: https://www.bundesgerichtshof.de | https://dejure.org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FTO-Recherchebericht Final — Windsysteme Norderhof AG / IceFree v3</dc:title>
  <dc:creator>Stadter &amp; Eppendorfer PartG mbB</dc:creator>
  <dc:description>Freedom-to-Operate-Analyse Rotorblattheizung IceFree v3</dc:description>
  <cp:lastModifiedBy>Un-named</cp:lastModifiedBy>
  <cp:revision>1</cp:revision>
  <dcterms:created xsi:type="dcterms:W3CDTF">2026-05-30T20:24:43.925Z</dcterms:created>
  <dcterms:modified xsi:type="dcterms:W3CDTF">2026-05-30T20:24:43.925Z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