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Merkmalsvergleich</w:t>
      </w:r>
    </w:p>
    <w:p>
      <w:pPr>
        <w:pStyle w:val="Heading1"/>
      </w:pPr>
      <w:r>
        <w:t xml:space="preserve">EP 3 218 922 B1 (Vellbruck) vs. IceFree v3 (Windsysteme Norderhof AG)</w:t>
      </w:r>
    </w:p>
    <w:p>
      <w:r>
        <w:rPr>
          <w:rFonts w:ascii="Calibri" w:cs="Calibri" w:eastAsia="Calibri" w:hAnsi="Calibri"/>
          <w:i/>
          <w:iCs/>
        </w:rPr>
        <w:t xml:space="preserve">AZ: SE-2026-FTO-0717 | Stand: 20. Februar 2026 | Verfasserin: PA Dr. Stadter-Birkenhain</w:t>
      </w:r>
    </w:p>
    <w:p/>
    <w:p>
      <w:pPr>
        <w:pStyle w:val="Heading2"/>
      </w:pPr>
      <w:r>
        <w:t xml:space="preserve">Ergebnis: Verletzungswahrscheinlichkeit Anspruch 1 — 85–90 %. Alle 6 Merkmale wörtlich verwirklicht.</w:t>
      </w:r>
    </w:p>
    <w:p/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Nr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Merkmal EP 3 218 922 B1 Anspruch 1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IceFree v3 Ausführung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Identität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Äquivalenz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Vorveröff.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Anmerkung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M1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Elektrothermisches Heizsystem für Rotorblätter einer WKA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IceFree v3 — elektrothermisches Enteisungssystem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—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D1, D3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Oberbegriff identisch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M2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Mind. 3 Heizzonen, unterschiedliche Heizleistungsdichten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4 Zonen: A 8 kW/m, B 6 kW/m, C 3 kW/m, D 0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—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D4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4 &gt; 3; vollständig erfüllt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M3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Kohlenstoffbasiertes Widerstandsmaterial, integriert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Kohlefaservlies VARTM-laminiert in Epoxydharz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—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D3, D4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Kohlefaservlies = kohlenstoffbasiert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M4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Kapazitive Sensoranordnung Eisdicken-Messung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Kapaz. Sensoren 3/Zone, Messb. 0–30 mm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—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D6, D9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Wörtlich identisch; Detektion präzise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M5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Kontaktlose Übertragung stationär → rotierend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Induktiver Übertrager 50 Hz, &gt; 96 % Effiz.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—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WO 2010/086406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Induktiv = kontaktlos; bevorzugte Ausf.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M6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Steuereinheit: zonale Aktivierung/Deaktivierung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Edge-Computing-Box: AI-Score → Zonen-Relais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—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D4, D9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Wörtlich identisch</w:t>
            </w:r>
          </w:p>
        </w:tc>
      </w:tr>
      <w:tr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M10*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Induktive Übertr. 20–200 kHz (Unteranspruch 6)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50 Hz — außerhalb 20–200 kHz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NEIN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—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—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EINZIGER Unterschied; Unteranspruch 6 nicht verletzt; aber Anspruch 1 ROT</w:t>
            </w:r>
          </w:p>
        </w:tc>
      </w:tr>
    </w:tbl>
    <w:p/>
    <w:p>
      <w:pPr>
        <w:pStyle w:val="Heading1"/>
      </w:pPr>
      <w:r>
        <w:t xml:space="preserve">Äquivalenzprüfung nach BGH X ZR 156/12 (Dreifragen-Test)</w:t>
      </w:r>
    </w:p>
    <w:p>
      <w:r>
        <w:rPr>
          <w:rFonts w:ascii="Calibri" w:cs="Calibri" w:eastAsia="Calibri" w:hAnsi="Calibri"/>
          <w:b/>
          <w:bCs/>
        </w:rPr>
        <w:t xml:space="preserve">Redesign-Option A (optische Sensorik): </w:t>
      </w:r>
      <w:r>
        <w:rPr>
          <w:rFonts w:ascii="Calibri" w:cs="Calibri" w:eastAsia="Calibri" w:hAnsi="Calibri"/>
        </w:rPr>
        <w:t xml:space="preserve">Äquivalent — gleichwirkend, naheliegend, gleichwertig. Kein Ausweg.</w:t>
      </w:r>
    </w:p>
    <w:p>
      <w:r>
        <w:rPr>
          <w:rFonts w:ascii="Calibri" w:cs="Calibri" w:eastAsia="Calibri" w:hAnsi="Calibri"/>
          <w:b/>
          <w:bCs/>
        </w:rPr>
        <w:t xml:space="preserve">Redesign-Option B (Vibrationssensor): </w:t>
      </w:r>
      <w:r>
        <w:rPr>
          <w:rFonts w:ascii="Calibri" w:cs="Calibri" w:eastAsia="Calibri" w:hAnsi="Calibri"/>
        </w:rPr>
        <w:t xml:space="preserve">Möglicherweise kein Äquivalent (andere physikalische Messgröße). 40 % Risiko.</w:t>
      </w:r>
    </w:p>
    <w:p>
      <w:r>
        <w:rPr>
          <w:rFonts w:ascii="Calibri" w:cs="Calibri" w:eastAsia="Calibri" w:hAnsi="Calibri"/>
          <w:b/>
          <w:bCs/>
        </w:rPr>
        <w:t xml:space="preserve">Redesign-Option C (NiCr-Metallfolie): </w:t>
      </w:r>
      <w:r>
        <w:rPr>
          <w:rFonts w:ascii="Calibri" w:cs="Calibri" w:eastAsia="Calibri" w:hAnsi="Calibri"/>
        </w:rPr>
        <w:t xml:space="preserve">Formstein-Einwand greift (NiCr = Stand der Technik). Möglicher Design-Around-Weg, aber technisch rückschrittlich.</w:t>
      </w:r>
    </w:p>
    <w:p/>
    <w:p>
      <w:r>
        <w:rPr>
          <w:rFonts w:ascii="Calibri" w:cs="Calibri" w:eastAsia="Calibri" w:hAnsi="Calibri"/>
          <w:sz w:val="18"/>
          <w:szCs w:val="18"/>
        </w:rPr>
        <w:t xml:space="preserve">Quellen: PatG §§ 9, 14 (https://dejure.org/gesetze/PatG) | EPÜ Art. 69 (https://www.epo.org) | BGH X ZR 156/12 (https://www.bundesgerichtshof.de)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Merkmalsvergleich EP 3 218 922 B1 vs. Windsysteme IceFree v3</dc:title>
  <dc:creator>Stadter &amp; Eppendorfer PartG mbB</dc:creator>
  <cp:lastModifiedBy>Un-named</cp:lastModifiedBy>
  <cp:revision>1</cp:revision>
  <dcterms:created xsi:type="dcterms:W3CDTF">2026-05-30T20:24:43.931Z</dcterms:created>
  <dcterms:modified xsi:type="dcterms:W3CDTF">2026-05-30T20:24:43.931Z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