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Strategiepapier für den Vorstand</w:t>
      </w:r>
    </w:p>
    <w:p>
      <w:pPr>
        <w:pStyle w:val="Heading1"/>
      </w:pPr>
      <w:r>
        <w:t xml:space="preserve">Windsysteme Norderhof AG — Markteinführung IceFree v3</w:t>
      </w:r>
    </w:p>
    <w:p>
      <w:r>
        <w:rPr>
          <w:rFonts w:ascii="Calibri" w:cs="Calibri" w:eastAsia="Calibri" w:hAnsi="Calibri"/>
          <w:b/>
          <w:bCs/>
          <w:i/>
          <w:iCs/>
        </w:rPr>
        <w:t xml:space="preserve">Vertraulich — Nur für Vorstandsmitglieder und bevollmächtigte Berater</w:t>
      </w:r>
    </w:p>
    <w:p>
      <w:r>
        <w:rPr>
          <w:rFonts w:ascii="Calibri" w:cs="Calibri" w:eastAsia="Calibri" w:hAnsi="Calibri"/>
          <w:i/>
          <w:iCs/>
        </w:rPr>
        <w:t xml:space="preserve">Vorstandssitzung: 15. Mai 2026 | Erstellt: Stadter &amp; Eppendorfer PartG mbB, Hamburg</w:t>
      </w:r>
    </w:p>
    <w:p/>
    <w:p>
      <w:pPr>
        <w:pStyle w:val="Heading1"/>
      </w:pPr>
      <w:r>
        <w:t xml:space="preserve">1. Lageeinschätzung</w:t>
      </w:r>
    </w:p>
    <w:p>
      <w:r>
        <w:rPr>
          <w:rFonts w:ascii="Calibri" w:cs="Calibri" w:eastAsia="Calibri" w:hAnsi="Calibri"/>
          <w:sz w:val="22"/>
          <w:szCs w:val="22"/>
        </w:rPr>
        <w:t xml:space="preserve">Die FTO-Analyse ergibt erhebliche Verletzungsrisiken in DE/EU (EP 3 218 922 B1, Vellbruck), USA (Vestas) und China (Ming Yang vorläufig). Der Vorstand muss bis 30.06.2026 eine strategische Entscheidung über den Markteintrittsweg treffen. Die Investitionsbindung von EUR 14,7 Mio. erfordert Planungssicherheit.</w:t>
      </w:r>
    </w:p>
    <w:p/>
    <w:p>
      <w:pPr>
        <w:pStyle w:val="Heading1"/>
      </w:pPr>
      <w:r>
        <w:t xml:space="preserve">2. Szenarien-Übersicht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shd w:fill="D5E8EE" w:val="clear"/>
          </w:tcPr>
          <w:p>
            <w:r>
              <w:rPr>
                <w:rFonts w:ascii="Calibri" w:cs="Calibri" w:eastAsia="Calibri" w:hAnsi="Calibri"/>
                <w:b/>
                <w:bCs/>
                <w:sz w:val="20"/>
                <w:szCs w:val="20"/>
              </w:rPr>
              <w:t xml:space="preserve">Szenario</w:t>
            </w:r>
          </w:p>
        </w:tc>
        <w:tc>
          <w:tcPr>
            <w:shd w:fill="D5E8EE" w:val="clear"/>
          </w:tcPr>
          <w:p>
            <w:r>
              <w:rPr>
                <w:rFonts w:ascii="Calibri" w:cs="Calibri" w:eastAsia="Calibri" w:hAnsi="Calibri"/>
                <w:b/>
                <w:bCs/>
                <w:sz w:val="20"/>
                <w:szCs w:val="20"/>
              </w:rPr>
              <w:t xml:space="preserve">Strategie</w:t>
            </w:r>
          </w:p>
        </w:tc>
        <w:tc>
          <w:tcPr>
            <w:shd w:fill="D5E8EE" w:val="clear"/>
          </w:tcPr>
          <w:p>
            <w:r>
              <w:rPr>
                <w:rFonts w:ascii="Calibri" w:cs="Calibri" w:eastAsia="Calibri" w:hAnsi="Calibri"/>
                <w:b/>
                <w:bCs/>
                <w:sz w:val="20"/>
                <w:szCs w:val="20"/>
              </w:rPr>
              <w:t xml:space="preserve">Markteintritt EU</w:t>
            </w:r>
          </w:p>
        </w:tc>
        <w:tc>
          <w:tcPr>
            <w:shd w:fill="D5E8EE" w:val="clear"/>
          </w:tcPr>
          <w:p>
            <w:r>
              <w:rPr>
                <w:rFonts w:ascii="Calibri" w:cs="Calibri" w:eastAsia="Calibri" w:hAnsi="Calibri"/>
                <w:b/>
                <w:bCs/>
                <w:sz w:val="20"/>
                <w:szCs w:val="20"/>
              </w:rPr>
              <w:t xml:space="preserve">Kosten (geschätzt)</w:t>
            </w:r>
          </w:p>
        </w:tc>
        <w:tc>
          <w:tcPr>
            <w:shd w:fill="D5E8EE" w:val="clear"/>
          </w:tcPr>
          <w:p>
            <w:r>
              <w:rPr>
                <w:rFonts w:ascii="Calibri" w:cs="Calibri" w:eastAsia="Calibri" w:hAnsi="Calibri"/>
                <w:b/>
                <w:bCs/>
                <w:sz w:val="20"/>
                <w:szCs w:val="20"/>
              </w:rPr>
              <w:t xml:space="preserve">Risiko</w:t>
            </w:r>
          </w:p>
        </w:tc>
      </w:tr>
      <w:tr>
        <w:tc>
          <w:tcPr>
            <w:shd w:fill="D4EDDA" w:val="clear"/>
          </w:tcPr>
          <w:p>
            <w:r>
              <w:rPr>
                <w:rFonts w:ascii="Calibri" w:cs="Calibri" w:eastAsia="Calibri" w:hAnsi="Calibri"/>
                <w:b w:val="false"/>
                <w:bCs w:val="false"/>
                <w:sz w:val="20"/>
                <w:szCs w:val="20"/>
              </w:rPr>
              <w:t xml:space="preserve">A (EMPF.)</w:t>
            </w:r>
          </w:p>
        </w:tc>
        <w:tc>
          <w:tcPr>
            <w:shd w:fill="D4EDDA" w:val="clear"/>
          </w:tcPr>
          <w:p>
            <w:r>
              <w:rPr>
                <w:rFonts w:ascii="Calibri" w:cs="Calibri" w:eastAsia="Calibri" w:hAnsi="Calibri"/>
                <w:b w:val="false"/>
                <w:bCs w:val="false"/>
                <w:sz w:val="20"/>
                <w:szCs w:val="20"/>
              </w:rPr>
              <w:t xml:space="preserve">Lizenz Vellbruck + US-Lizenz Vestas</w:t>
            </w:r>
          </w:p>
        </w:tc>
        <w:tc>
          <w:tcPr>
            <w:shd w:fill="D4EDDA" w:val="clear"/>
          </w:tcPr>
          <w:p>
            <w:r>
              <w:rPr>
                <w:rFonts w:ascii="Calibri" w:cs="Calibri" w:eastAsia="Calibri" w:hAnsi="Calibri"/>
                <w:b w:val="false"/>
                <w:bCs w:val="false"/>
                <w:sz w:val="20"/>
                <w:szCs w:val="20"/>
              </w:rPr>
              <w:t xml:space="preserve">Q3 2026 (plangemäß)</w:t>
            </w:r>
          </w:p>
        </w:tc>
        <w:tc>
          <w:tcPr>
            <w:shd w:fill="D4EDDA" w:val="clear"/>
          </w:tcPr>
          <w:p>
            <w:r>
              <w:rPr>
                <w:rFonts w:ascii="Calibri" w:cs="Calibri" w:eastAsia="Calibri" w:hAnsi="Calibri"/>
                <w:b w:val="false"/>
                <w:bCs w:val="false"/>
                <w:sz w:val="20"/>
                <w:szCs w:val="20"/>
              </w:rPr>
              <w:t xml:space="preserve">EUR 250.000 upfront + 3 % lfd.</w:t>
            </w:r>
          </w:p>
        </w:tc>
        <w:tc>
          <w:tcPr>
            <w:shd w:fill="D4EDDA" w:val="clear"/>
          </w:tcPr>
          <w:p>
            <w:r>
              <w:rPr>
                <w:rFonts w:ascii="Calibri" w:cs="Calibri" w:eastAsia="Calibri" w:hAnsi="Calibri"/>
                <w:b w:val="false"/>
                <w:bCs w:val="false"/>
                <w:sz w:val="20"/>
                <w:szCs w:val="20"/>
              </w:rPr>
              <w:t xml:space="preserve">NIEDRIG</w:t>
            </w:r>
          </w:p>
        </w:tc>
      </w:tr>
      <w:tr>
        <w:tc>
          <w:tcPr>
            <w:shd w:fill="FFF3CD" w:val="clear"/>
          </w:tcPr>
          <w:p>
            <w:r>
              <w:rPr>
                <w:rFonts w:ascii="Calibri" w:cs="Calibri" w:eastAsia="Calibri" w:hAnsi="Calibri"/>
                <w:b w:val="false"/>
                <w:bCs w:val="false"/>
                <w:sz w:val="20"/>
                <w:szCs w:val="20"/>
              </w:rPr>
              <w:t xml:space="preserve">B</w:t>
            </w:r>
          </w:p>
        </w:tc>
        <w:tc>
          <w:tcPr>
            <w:shd w:fill="FFF3CD" w:val="clear"/>
          </w:tcPr>
          <w:p>
            <w:r>
              <w:rPr>
                <w:rFonts w:ascii="Calibri" w:cs="Calibri" w:eastAsia="Calibri" w:hAnsi="Calibri"/>
                <w:b w:val="false"/>
                <w:bCs w:val="false"/>
                <w:sz w:val="20"/>
                <w:szCs w:val="20"/>
              </w:rPr>
              <w:t xml:space="preserve">Nichtigkeitsklage BPatG + einstw. Markteintritt</w:t>
            </w:r>
          </w:p>
        </w:tc>
        <w:tc>
          <w:tcPr>
            <w:shd w:fill="FFF3CD" w:val="clear"/>
          </w:tcPr>
          <w:p>
            <w:r>
              <w:rPr>
                <w:rFonts w:ascii="Calibri" w:cs="Calibri" w:eastAsia="Calibri" w:hAnsi="Calibri"/>
                <w:b w:val="false"/>
                <w:bCs w:val="false"/>
                <w:sz w:val="20"/>
                <w:szCs w:val="20"/>
              </w:rPr>
              <w:t xml:space="preserve">Q4 2026 (mit Risiko)</w:t>
            </w:r>
          </w:p>
        </w:tc>
        <w:tc>
          <w:tcPr>
            <w:shd w:fill="FFF3CD" w:val="clear"/>
          </w:tcPr>
          <w:p>
            <w:r>
              <w:rPr>
                <w:rFonts w:ascii="Calibri" w:cs="Calibri" w:eastAsia="Calibri" w:hAnsi="Calibri"/>
                <w:b w:val="false"/>
                <w:bCs w:val="false"/>
                <w:sz w:val="20"/>
                <w:szCs w:val="20"/>
              </w:rPr>
              <w:t xml:space="preserve">EUR 120.000 NK + EUR 500.000 Sicherh.</w:t>
            </w:r>
          </w:p>
        </w:tc>
        <w:tc>
          <w:tcPr>
            <w:shd w:fill="FFF3CD" w:val="clear"/>
          </w:tcPr>
          <w:p>
            <w:r>
              <w:rPr>
                <w:rFonts w:ascii="Calibri" w:cs="Calibri" w:eastAsia="Calibri" w:hAnsi="Calibri"/>
                <w:b w:val="false"/>
                <w:bCs w:val="false"/>
                <w:sz w:val="20"/>
                <w:szCs w:val="20"/>
              </w:rPr>
              <w:t xml:space="preserve">MITTEL-HOCH</w:t>
            </w:r>
          </w:p>
        </w:tc>
      </w:tr>
      <w:tr>
        <w:tc>
          <w:tcPr>
            <w:shd w:fill="FFF3CD" w:val="clear"/>
          </w:tcPr>
          <w:p>
            <w:r>
              <w:rPr>
                <w:rFonts w:ascii="Calibri" w:cs="Calibri" w:eastAsia="Calibri" w:hAnsi="Calibri"/>
                <w:b w:val="false"/>
                <w:bCs w:val="false"/>
                <w:sz w:val="20"/>
                <w:szCs w:val="20"/>
              </w:rPr>
              <w:t xml:space="preserve">C</w:t>
            </w:r>
          </w:p>
        </w:tc>
        <w:tc>
          <w:tcPr>
            <w:shd w:fill="FFF3CD" w:val="clear"/>
          </w:tcPr>
          <w:p>
            <w:r>
              <w:rPr>
                <w:rFonts w:ascii="Calibri" w:cs="Calibri" w:eastAsia="Calibri" w:hAnsi="Calibri"/>
                <w:b w:val="false"/>
                <w:bCs w:val="false"/>
                <w:sz w:val="20"/>
                <w:szCs w:val="20"/>
              </w:rPr>
              <w:t xml:space="preserve">Verzögerter Markteintritt nach Redesign</w:t>
            </w:r>
          </w:p>
        </w:tc>
        <w:tc>
          <w:tcPr>
            <w:shd w:fill="FFF3CD" w:val="clear"/>
          </w:tcPr>
          <w:p>
            <w:r>
              <w:rPr>
                <w:rFonts w:ascii="Calibri" w:cs="Calibri" w:eastAsia="Calibri" w:hAnsi="Calibri"/>
                <w:b w:val="false"/>
                <w:bCs w:val="false"/>
                <w:sz w:val="20"/>
                <w:szCs w:val="20"/>
              </w:rPr>
              <w:t xml:space="preserve">Q2 2027</w:t>
            </w:r>
          </w:p>
        </w:tc>
        <w:tc>
          <w:tcPr>
            <w:shd w:fill="FFF3CD" w:val="clear"/>
          </w:tcPr>
          <w:p>
            <w:r>
              <w:rPr>
                <w:rFonts w:ascii="Calibri" w:cs="Calibri" w:eastAsia="Calibri" w:hAnsi="Calibri"/>
                <w:b w:val="false"/>
                <w:bCs w:val="false"/>
                <w:sz w:val="20"/>
                <w:szCs w:val="20"/>
              </w:rPr>
              <w:t xml:space="preserve">EUR 1,8–2,4 Mio. Redesign</w:t>
            </w:r>
          </w:p>
        </w:tc>
        <w:tc>
          <w:tcPr>
            <w:shd w:fill="FFF3CD" w:val="clear"/>
          </w:tcPr>
          <w:p>
            <w:r>
              <w:rPr>
                <w:rFonts w:ascii="Calibri" w:cs="Calibri" w:eastAsia="Calibri" w:hAnsi="Calibri"/>
                <w:b w:val="false"/>
                <w:bCs w:val="false"/>
                <w:sz w:val="20"/>
                <w:szCs w:val="20"/>
              </w:rPr>
              <w:t xml:space="preserve">MITTEL</w:t>
            </w:r>
          </w:p>
        </w:tc>
      </w:tr>
      <w:tr>
        <w:tc>
          <w:tcPr>
            <w:shd w:fill="FFD7D7" w:val="clear"/>
          </w:tcPr>
          <w:p>
            <w:r>
              <w:rPr>
                <w:rFonts w:ascii="Calibri" w:cs="Calibri" w:eastAsia="Calibri" w:hAnsi="Calibri"/>
                <w:b w:val="false"/>
                <w:bCs w:val="false"/>
                <w:sz w:val="20"/>
                <w:szCs w:val="20"/>
              </w:rPr>
              <w:t xml:space="preserve">D</w:t>
            </w:r>
          </w:p>
        </w:tc>
        <w:tc>
          <w:tcPr>
            <w:shd w:fill="FFD7D7" w:val="clear"/>
          </w:tcPr>
          <w:p>
            <w:r>
              <w:rPr>
                <w:rFonts w:ascii="Calibri" w:cs="Calibri" w:eastAsia="Calibri" w:hAnsi="Calibri"/>
                <w:b w:val="false"/>
                <w:bCs w:val="false"/>
                <w:sz w:val="20"/>
                <w:szCs w:val="20"/>
              </w:rPr>
              <w:t xml:space="preserve">Kein EU/US-Eintritt — CN-Fokus</w:t>
            </w:r>
          </w:p>
        </w:tc>
        <w:tc>
          <w:tcPr>
            <w:shd w:fill="FFD7D7" w:val="clear"/>
          </w:tcPr>
          <w:p>
            <w:r>
              <w:rPr>
                <w:rFonts w:ascii="Calibri" w:cs="Calibri" w:eastAsia="Calibri" w:hAnsi="Calibri"/>
                <w:b w:val="false"/>
                <w:bCs w:val="false"/>
                <w:sz w:val="20"/>
                <w:szCs w:val="20"/>
              </w:rPr>
              <w:t xml:space="preserve">—</w:t>
            </w:r>
          </w:p>
        </w:tc>
        <w:tc>
          <w:tcPr>
            <w:shd w:fill="FFD7D7" w:val="clear"/>
          </w:tcPr>
          <w:p>
            <w:r>
              <w:rPr>
                <w:rFonts w:ascii="Calibri" w:cs="Calibri" w:eastAsia="Calibri" w:hAnsi="Calibri"/>
                <w:b w:val="false"/>
                <w:bCs w:val="false"/>
                <w:sz w:val="20"/>
                <w:szCs w:val="20"/>
              </w:rPr>
              <w:t xml:space="preserve">Entfall EU/US-Potenzial</w:t>
            </w:r>
          </w:p>
        </w:tc>
        <w:tc>
          <w:tcPr>
            <w:shd w:fill="FFD7D7" w:val="clear"/>
          </w:tcPr>
          <w:p>
            <w:r>
              <w:rPr>
                <w:rFonts w:ascii="Calibri" w:cs="Calibri" w:eastAsia="Calibri" w:hAnsi="Calibri"/>
                <w:b w:val="false"/>
                <w:bCs w:val="false"/>
                <w:sz w:val="20"/>
                <w:szCs w:val="20"/>
              </w:rPr>
              <w:t xml:space="preserve">SEHR HOCH strategisch</w:t>
            </w:r>
          </w:p>
        </w:tc>
      </w:tr>
    </w:tbl>
    <w:p/>
    <w:p>
      <w:pPr>
        <w:pStyle w:val="Heading1"/>
      </w:pPr>
      <w:r>
        <w:t xml:space="preserve">3. Empfehlung der Kanzlei</w:t>
      </w:r>
    </w:p>
    <w:p>
      <w:r>
        <w:rPr>
          <w:rFonts w:ascii="Calibri" w:cs="Calibri" w:eastAsia="Calibri" w:hAnsi="Calibri"/>
          <w:b/>
          <w:bCs/>
          <w:sz w:val="22"/>
          <w:szCs w:val="22"/>
        </w:rPr>
        <w:t xml:space="preserve">Szenario A ist die empfohlene Primärstrategie. </w:t>
      </w:r>
      <w:r>
        <w:rPr>
          <w:rFonts w:ascii="Calibri" w:cs="Calibri" w:eastAsia="Calibri" w:hAnsi="Calibri"/>
          <w:sz w:val="22"/>
          <w:szCs w:val="22"/>
        </w:rPr>
        <w:t xml:space="preserve">Lizenznahme Vellbruck schafft sofortige FTO für EU-Kernmarkt. Lizenzkosten (3 % = EUR 480.000/Jahr) sind bei geschätztem EU-Umsatz von EUR 16 Mio./Jahr und EBIT-Marge 18 % tragbar. Parallel Nichtigkeitsklage BPatG vorbereiten als Druckmittel und zur Stärkung der Verhandlungsposition.</w:t>
      </w:r>
    </w:p>
    <w:p/>
    <w:p>
      <w:pPr>
        <w:pStyle w:val="Heading1"/>
      </w:pPr>
      <w:r>
        <w:t xml:space="preserve">4. Beschlussvorschlag</w:t>
      </w:r>
    </w:p>
    <w:p>
      <w:r>
        <w:rPr>
          <w:rFonts w:ascii="Calibri" w:cs="Calibri" w:eastAsia="Calibri" w:hAnsi="Calibri"/>
          <w:sz w:val="22"/>
          <w:szCs w:val="22"/>
        </w:rPr>
        <w:t xml:space="preserve">(1) Genehmigung der Lizenzverhandlungsführung Vellbruck durch Kanzlei Stadter &amp; Eppendorfer.
(2) Freigabe Verhandlungsbudget EUR 500.000 (Lizenz + Anwaltskosten).
(3) Beauftragung SV Prof. Dr.-Ing. Klaus Lammers TU Hamburg (Nichtigkeitsklage, EUR 12.000).
(4) Beschleunigungsantrag EP 22 834 190.2 beim EPA einreichen.</w:t>
      </w:r>
    </w:p>
    <w:p/>
    <w:p>
      <w:r>
        <w:rPr>
          <w:rFonts w:ascii="Calibri" w:cs="Calibri" w:eastAsia="Calibri" w:hAnsi="Calibri"/>
          <w:sz w:val="18"/>
          <w:szCs w:val="18"/>
        </w:rPr>
        <w:t xml:space="preserve">Quellen: PatG §§ 24, 139, 140a (https://dejure.org/gesetze/PatG) | EPÜ Art. 69, 99 (https://www.epo.org) | DPMA BPatG (https://www.dpma.de) | BGH Äquivalenz X ZR 156/12 (https://www.bundesgerichtshof.de)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Strategiepapier Vorstand — Windsysteme Norderhof AG / IceFree v3</dc:title>
  <dc:creator>Stadter &amp; Eppendorfer PartG mbB</dc:creator>
  <cp:lastModifiedBy>Un-named</cp:lastModifiedBy>
  <cp:revision>1</cp:revision>
  <dcterms:created xsi:type="dcterms:W3CDTF">2026-05-30T20:24:43.933Z</dcterms:created>
  <dcterms:modified xsi:type="dcterms:W3CDTF">2026-05-30T20:24:43.933Z</dcterms:modified>
</cp:coreProperties>
</file>

<file path=docProps/custom.xml><?xml version="1.0" encoding="utf-8"?>
<Properties xmlns="http://schemas.openxmlformats.org/officeDocument/2006/custom-properties" xmlns:vt="http://schemas.openxmlformats.org/officeDocument/2006/docPropsVTypes"/>
</file>