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jc w:val="right"/>
      </w:pPr>
      <w:r>
        <w:rPr>
          <w:rFonts w:ascii="Calibri" w:cs="Calibri" w:eastAsia="Calibri" w:hAnsi="Calibri"/>
          <w:b/>
          <w:bCs/>
          <w:sz w:val="24"/>
          <w:szCs w:val="24"/>
        </w:rPr>
        <w:t xml:space="preserve">Kanzlei Drosselberg, Wegener, Sandtenbruch &amp; Partner Rechtsanwälte</w:t>
      </w:r>
    </w:p>
    <w:p>
      <w:pPr>
        <w:jc w:val="right"/>
      </w:pPr>
      <w:r>
        <w:rPr>
          <w:rFonts w:ascii="Calibri" w:cs="Calibri" w:eastAsia="Calibri" w:hAnsi="Calibri"/>
          <w:sz w:val="20"/>
          <w:szCs w:val="20"/>
        </w:rPr>
        <w:t xml:space="preserve">Kaiser-Wilhelm-Str. 44 · 33602 Bielefeld</w:t>
      </w:r>
    </w:p>
    <w:p>
      <w:pPr>
        <w:jc w:val="right"/>
      </w:pPr>
      <w:r>
        <w:rPr>
          <w:rFonts w:ascii="Calibri" w:cs="Calibri" w:eastAsia="Calibri" w:hAnsi="Calibri"/>
          <w:sz w:val="20"/>
          <w:szCs w:val="20"/>
        </w:rPr>
        <w:t xml:space="preserve">Tel.: 0521 / 98765-0 · info@dwsp.de</w:t>
      </w:r>
    </w:p>
    <w:p>
      <w:pPr>
        <w:spacing w:after="120"/>
      </w:pPr>
    </w:p>
    <w:p>
      <w:pPr>
        <w:jc w:val="right"/>
      </w:pPr>
      <w:r>
        <w:rPr>
          <w:rFonts w:ascii="Calibri" w:cs="Calibri" w:eastAsia="Calibri" w:hAnsi="Calibri"/>
          <w:sz w:val="22"/>
          <w:szCs w:val="22"/>
        </w:rPr>
        <w:t xml:space="preserve">Bielefeld, den 29. April 2026</w:t>
      </w:r>
    </w:p>
    <w:p>
      <w:pPr>
        <w:spacing w:after="120"/>
      </w:pPr>
    </w:p>
    <w:p>
      <w:r>
        <w:rPr>
          <w:rFonts w:ascii="Calibri" w:cs="Calibri" w:eastAsia="Calibri" w:hAnsi="Calibri"/>
          <w:b/>
          <w:bCs/>
          <w:sz w:val="22"/>
          <w:szCs w:val="22"/>
        </w:rPr>
        <w:t xml:space="preserve">Landgericht Bielefeld</w:t>
      </w:r>
    </w:p>
    <w:p>
      <w:pPr>
        <w:spacing w:after="120" w:line="276"/>
      </w:pPr>
      <w:r>
        <w:rPr>
          <w:rFonts w:ascii="Calibri" w:cs="Calibri" w:eastAsia="Calibri" w:hAnsi="Calibri"/>
          <w:b w:val="false"/>
          <w:bCs w:val="false"/>
          <w:sz w:val="22"/>
          <w:szCs w:val="22"/>
        </w:rPr>
        <w:t xml:space="preserve">3. Zivilkammer — Kammer für Handelssachen</w:t>
      </w:r>
    </w:p>
    <w:p>
      <w:pPr>
        <w:spacing w:after="120" w:line="276"/>
      </w:pPr>
      <w:r>
        <w:rPr>
          <w:rFonts w:ascii="Calibri" w:cs="Calibri" w:eastAsia="Calibri" w:hAnsi="Calibri"/>
          <w:b w:val="false"/>
          <w:bCs w:val="false"/>
          <w:sz w:val="22"/>
          <w:szCs w:val="22"/>
        </w:rPr>
        <w:t xml:space="preserve">Niederwall 71</w:t>
      </w:r>
    </w:p>
    <w:p>
      <w:pPr>
        <w:spacing w:after="120" w:line="276"/>
      </w:pPr>
      <w:r>
        <w:rPr>
          <w:rFonts w:ascii="Calibri" w:cs="Calibri" w:eastAsia="Calibri" w:hAnsi="Calibri"/>
          <w:b w:val="false"/>
          <w:bCs w:val="false"/>
          <w:sz w:val="22"/>
          <w:szCs w:val="22"/>
        </w:rPr>
        <w:t xml:space="preserve">33602 Bielefeld</w:t>
      </w:r>
    </w:p>
    <w:p>
      <w:pPr>
        <w:spacing w:after="120"/>
      </w:pPr>
    </w:p>
    <w:p>
      <w:pPr>
        <w:spacing w:after="400" w:before="400"/>
        <w:jc w:val="center"/>
      </w:pPr>
      <w:r>
        <w:rPr>
          <w:rFonts w:ascii="Calibri" w:cs="Calibri" w:eastAsia="Calibri" w:hAnsi="Calibri"/>
          <w:b/>
          <w:bCs/>
          <w:sz w:val="32"/>
          <w:szCs w:val="32"/>
        </w:rPr>
        <w:t xml:space="preserve">KLAGESCHRIFT</w:t>
      </w:r>
    </w:p>
    <w:p>
      <w:pPr>
        <w:spacing w:after="120" w:line="276"/>
      </w:pPr>
      <w:r>
        <w:rPr>
          <w:rFonts w:ascii="Calibri" w:cs="Calibri" w:eastAsia="Calibri" w:hAnsi="Calibri"/>
          <w:b w:val="false"/>
          <w:bCs w:val="false"/>
          <w:sz w:val="22"/>
          <w:szCs w:val="22"/>
        </w:rPr>
        <w:t xml:space="preserve">In dem Rechtsstreit</w:t>
      </w:r>
    </w:p>
    <w:p>
      <w:pPr>
        <w:spacing w:after="120"/>
      </w:pPr>
    </w:p>
    <w:p>
      <w:pPr>
        <w:spacing w:after="120" w:line="276"/>
      </w:pPr>
      <w:r>
        <w:rPr>
          <w:rFonts w:ascii="Calibri" w:cs="Calibri" w:eastAsia="Calibri" w:hAnsi="Calibri"/>
          <w:b w:val="false"/>
          <w:bCs w:val="false"/>
          <w:sz w:val="22"/>
          <w:szCs w:val="22"/>
        </w:rPr>
        <w:t xml:space="preserve">1. Heinrich-Eberhard Geisen, Sennelager Str. 88, 33104 Paderborn,</w:t>
      </w:r>
    </w:p>
    <w:p>
      <w:pPr>
        <w:spacing w:after="120" w:line="276"/>
        <w:ind w:left="720"/>
      </w:pPr>
      <w:r>
        <w:rPr>
          <w:rFonts w:ascii="Calibri" w:cs="Calibri" w:eastAsia="Calibri" w:hAnsi="Calibri"/>
          <w:b w:val="false"/>
          <w:bCs w:val="false"/>
          <w:sz w:val="22"/>
          <w:szCs w:val="22"/>
        </w:rPr>
        <w:t xml:space="preserve">   als Geschäftsführer der Küchenkönig Verwaltungs-GmbH</w:t>
      </w:r>
    </w:p>
    <w:p>
      <w:pPr>
        <w:spacing w:after="120" w:line="276"/>
      </w:pPr>
      <w:r>
        <w:rPr>
          <w:rFonts w:ascii="Calibri" w:cs="Calibri" w:eastAsia="Calibri" w:hAnsi="Calibri"/>
          <w:b w:val="false"/>
          <w:bCs w:val="false"/>
          <w:sz w:val="22"/>
          <w:szCs w:val="22"/>
        </w:rPr>
        <w:t xml:space="preserve">2. Cornelia Geisen-Wetterhof, Lindenweg 12, 33175 Bad Lippspringe,</w:t>
      </w:r>
    </w:p>
    <w:p>
      <w:pPr>
        <w:spacing w:after="120" w:line="276"/>
      </w:pPr>
      <w:r>
        <w:rPr>
          <w:rFonts w:ascii="Calibri" w:cs="Calibri" w:eastAsia="Calibri" w:hAnsi="Calibri"/>
          <w:b w:val="false"/>
          <w:bCs w:val="false"/>
          <w:sz w:val="22"/>
          <w:szCs w:val="22"/>
        </w:rPr>
        <w:t xml:space="preserve">3. Stefan Geisen, Elsener Str. 44, 33104 Paderborn-Elsen</w:t>
      </w:r>
    </w:p>
    <w:p>
      <w:pPr>
        <w:spacing w:after="120"/>
      </w:pPr>
    </w:p>
    <w:p>
      <w:pPr>
        <w:spacing w:after="120" w:line="276"/>
      </w:pPr>
      <w:r>
        <w:rPr>
          <w:rFonts w:ascii="Calibri" w:cs="Calibri" w:eastAsia="Calibri" w:hAnsi="Calibri"/>
          <w:b/>
          <w:bCs/>
          <w:sz w:val="22"/>
          <w:szCs w:val="22"/>
        </w:rPr>
        <w:t xml:space="preserve">— Kläger —</w:t>
      </w:r>
    </w:p>
    <w:p>
      <w:pPr>
        <w:spacing w:after="120"/>
      </w:pPr>
    </w:p>
    <w:p>
      <w:pPr>
        <w:spacing w:after="120" w:line="276"/>
      </w:pPr>
      <w:r>
        <w:rPr>
          <w:rFonts w:ascii="Calibri" w:cs="Calibri" w:eastAsia="Calibri" w:hAnsi="Calibri"/>
          <w:b w:val="false"/>
          <w:bCs w:val="false"/>
          <w:sz w:val="22"/>
          <w:szCs w:val="22"/>
        </w:rPr>
        <w:t xml:space="preserve">Prozessbevollmächtigter: Prof. Dr. Wieland Drosselberg, Kaiser-Wilhelm-Str. 44, 33602 Bielefeld</w:t>
      </w:r>
    </w:p>
    <w:p>
      <w:pPr>
        <w:spacing w:after="120"/>
      </w:pPr>
    </w:p>
    <w:p>
      <w:pPr>
        <w:spacing w:after="120" w:line="276"/>
      </w:pPr>
      <w:r>
        <w:rPr>
          <w:rFonts w:ascii="Calibri" w:cs="Calibri" w:eastAsia="Calibri" w:hAnsi="Calibri"/>
          <w:b w:val="false"/>
          <w:bCs w:val="false"/>
          <w:sz w:val="22"/>
          <w:szCs w:val="22"/>
        </w:rPr>
        <w:t xml:space="preserve">gegen</w:t>
      </w:r>
    </w:p>
    <w:p>
      <w:pPr>
        <w:spacing w:after="120"/>
      </w:pPr>
    </w:p>
    <w:p>
      <w:pPr>
        <w:spacing w:after="120" w:line="276"/>
      </w:pPr>
      <w:r>
        <w:rPr>
          <w:rFonts w:ascii="Calibri" w:cs="Calibri" w:eastAsia="Calibri" w:hAnsi="Calibri"/>
          <w:b/>
          <w:bCs/>
          <w:sz w:val="22"/>
          <w:szCs w:val="22"/>
        </w:rPr>
        <w:t xml:space="preserve">Küchenkönig Manufaktur GmbH &amp; Co. KG, Sennelager Str. 88, 33104 Paderborn,</w:t>
      </w:r>
    </w:p>
    <w:p>
      <w:pPr>
        <w:spacing w:after="120" w:line="276"/>
      </w:pPr>
      <w:r>
        <w:rPr>
          <w:rFonts w:ascii="Calibri" w:cs="Calibri" w:eastAsia="Calibri" w:hAnsi="Calibri"/>
          <w:b w:val="false"/>
          <w:bCs w:val="false"/>
          <w:sz w:val="22"/>
          <w:szCs w:val="22"/>
        </w:rPr>
        <w:t xml:space="preserve">vertreten durch die Komplementärin Küchenkönig Verwaltungs-GmbH,</w:t>
      </w:r>
    </w:p>
    <w:p>
      <w:pPr>
        <w:spacing w:after="120" w:line="276"/>
      </w:pPr>
      <w:r>
        <w:rPr>
          <w:rFonts w:ascii="Calibri" w:cs="Calibri" w:eastAsia="Calibri" w:hAnsi="Calibri"/>
          <w:b w:val="false"/>
          <w:bCs w:val="false"/>
          <w:sz w:val="22"/>
          <w:szCs w:val="22"/>
        </w:rPr>
        <w:t xml:space="preserve">hilfsweise vertreten durch die Wittmann Family Holding KG als Beschlussverteidigerin</w:t>
      </w:r>
    </w:p>
    <w:p>
      <w:pPr>
        <w:spacing w:after="120"/>
      </w:pPr>
    </w:p>
    <w:p>
      <w:pPr>
        <w:spacing w:after="120" w:line="276"/>
      </w:pPr>
      <w:r>
        <w:rPr>
          <w:rFonts w:ascii="Calibri" w:cs="Calibri" w:eastAsia="Calibri" w:hAnsi="Calibri"/>
          <w:b w:val="false"/>
          <w:bCs w:val="false"/>
          <w:sz w:val="22"/>
          <w:szCs w:val="22"/>
        </w:rPr>
        <w:t xml:space="preserve">— Beklagte —</w:t>
      </w:r>
    </w:p>
    <w:p>
      <w:pPr>
        <w:spacing w:after="120"/>
      </w:pPr>
    </w:p>
    <w:p>
      <w:pPr>
        <w:pStyle w:val="Heading1"/>
        <w:spacing w:after="200" w:before="400"/>
      </w:pPr>
      <w:r>
        <w:t xml:space="preserve">I. Streitgegenstand und Antrag</w:t>
      </w:r>
    </w:p>
    <w:p>
      <w:pPr>
        <w:spacing w:after="120" w:line="276"/>
      </w:pPr>
      <w:r>
        <w:rPr>
          <w:rFonts w:ascii="Calibri" w:cs="Calibri" w:eastAsia="Calibri" w:hAnsi="Calibri"/>
          <w:b w:val="false"/>
          <w:bCs w:val="false"/>
          <w:sz w:val="22"/>
          <w:szCs w:val="22"/>
        </w:rPr>
        <w:t xml:space="preserve">Streitwert: 6.400.000 EUR</w:t>
      </w:r>
    </w:p>
    <w:p>
      <w:pPr>
        <w:spacing w:after="120"/>
      </w:pPr>
    </w:p>
    <w:p>
      <w:pPr>
        <w:spacing w:after="120" w:line="276"/>
      </w:pPr>
      <w:r>
        <w:rPr>
          <w:rFonts w:ascii="Calibri" w:cs="Calibri" w:eastAsia="Calibri" w:hAnsi="Calibri"/>
          <w:b w:val="false"/>
          <w:bCs w:val="false"/>
          <w:sz w:val="22"/>
          <w:szCs w:val="22"/>
        </w:rPr>
        <w:t xml:space="preserve">Die Kläger beantragen:</w:t>
      </w:r>
    </w:p>
    <w:p>
      <w:pPr>
        <w:spacing w:after="120"/>
      </w:pPr>
    </w:p>
    <w:p>
      <w:pPr>
        <w:pBdr>
          <w:left w:val="single" w:color="20808D" w:sz="6"/>
        </w:pBdr>
        <w:spacing w:after="120" w:line="276"/>
        <w:ind w:left="720" w:right="720"/>
      </w:pPr>
      <w:r>
        <w:rPr>
          <w:rFonts w:ascii="Calibri" w:cs="Calibri" w:eastAsia="Calibri" w:hAnsi="Calibri"/>
          <w:i/>
          <w:iCs/>
          <w:sz w:val="20"/>
          <w:szCs w:val="20"/>
        </w:rPr>
        <w:t xml:space="preserve">1. Der in der außerordentlichen Gesellschafterversammlung der Küchenkönig Manufaktur GmbH &amp; Co. KG vom 14. April 2026 unter Tagesordnungspunkt 2 gefasste Beschluss über den Ausschluss der Komplementär-GmbH sowie der Kommanditistinnen Cornelia Geisen-Wetterhof und Stefan Geisen aus der Gesellschaft gegen Buchwertabfindung gemäß § 9 Abs. 3 des Gesellschaftsvertrages wird für unwirksam erklärt (Anfechtungsklage analog § 246 AktG).</w:t>
      </w:r>
    </w:p>
    <w:p>
      <w:pPr>
        <w:spacing w:after="120"/>
      </w:pPr>
    </w:p>
    <w:p>
      <w:pPr>
        <w:pBdr>
          <w:left w:val="single" w:color="20808D" w:sz="6"/>
        </w:pBdr>
        <w:spacing w:after="120" w:line="276"/>
        <w:ind w:left="720" w:right="720"/>
      </w:pPr>
      <w:r>
        <w:rPr>
          <w:rFonts w:ascii="Calibri" w:cs="Calibri" w:eastAsia="Calibri" w:hAnsi="Calibri"/>
          <w:i/>
          <w:iCs/>
          <w:sz w:val="20"/>
          <w:szCs w:val="20"/>
        </w:rPr>
        <w:t xml:space="preserve">2. Hilfsweise: Es wird festgestellt, dass der vorgenannte Beschluss nichtig ist (analog § 249 AktG).</w:t>
      </w:r>
    </w:p>
    <w:p>
      <w:pPr>
        <w:spacing w:after="120"/>
      </w:pPr>
    </w:p>
    <w:p>
      <w:pPr>
        <w:pBdr>
          <w:left w:val="single" w:color="20808D" w:sz="6"/>
        </w:pBdr>
        <w:spacing w:after="120" w:line="276"/>
        <w:ind w:left="720" w:right="720"/>
      </w:pPr>
      <w:r>
        <w:rPr>
          <w:rFonts w:ascii="Calibri" w:cs="Calibri" w:eastAsia="Calibri" w:hAnsi="Calibri"/>
          <w:i/>
          <w:iCs/>
          <w:sz w:val="20"/>
          <w:szCs w:val="20"/>
        </w:rPr>
        <w:t xml:space="preserve">3. Weiterer Hilfsantrag: Für den Fall, dass das Gericht den Beschluss für wirksam hält, wird beantragt festzustellen, dass die Abfindung der ausscheidenden Gesellschafter nach dem Verkehrswert zu bestimmen ist und die Buchwertklausel in § 9 Abs. 3 des Gesellschaftsvertrages wegen Verstoßes gegen § 138 Abs. 1 BGB (Sittenwidrigkeit) keine Anwendung findet.</w:t>
      </w:r>
    </w:p>
    <w:p>
      <w:pPr>
        <w:spacing w:after="120"/>
      </w:pPr>
    </w:p>
    <w:p>
      <w:pPr>
        <w:pBdr>
          <w:left w:val="single" w:color="20808D" w:sz="6"/>
        </w:pBdr>
        <w:spacing w:after="120" w:line="276"/>
        <w:ind w:left="720" w:right="720"/>
      </w:pPr>
      <w:r>
        <w:rPr>
          <w:rFonts w:ascii="Calibri" w:cs="Calibri" w:eastAsia="Calibri" w:hAnsi="Calibri"/>
          <w:i/>
          <w:iCs/>
          <w:sz w:val="20"/>
          <w:szCs w:val="20"/>
        </w:rPr>
        <w:t xml:space="preserve">4. Die Beklagte trägt die Kosten des Rechtsstreits.</w:t>
      </w:r>
    </w:p>
    <w:p>
      <w:pPr>
        <w:spacing w:after="120"/>
      </w:pPr>
    </w:p>
    <w:p>
      <w:pPr>
        <w:pStyle w:val="Heading1"/>
        <w:spacing w:after="200" w:before="400"/>
      </w:pPr>
      <w:r>
        <w:t xml:space="preserve">II. Sachverhalt</w:t>
      </w:r>
    </w:p>
    <w:p>
      <w:pPr>
        <w:pStyle w:val="Heading2"/>
        <w:spacing w:after="150" w:before="300"/>
      </w:pPr>
      <w:r>
        <w:t xml:space="preserve">1. Gesellschaft und Beteiligte</w:t>
      </w:r>
    </w:p>
    <w:p>
      <w:pPr>
        <w:spacing w:after="120" w:line="276"/>
      </w:pPr>
      <w:r>
        <w:rPr>
          <w:rFonts w:ascii="Calibri" w:cs="Calibri" w:eastAsia="Calibri" w:hAnsi="Calibri"/>
          <w:b w:val="false"/>
          <w:bCs w:val="false"/>
          <w:sz w:val="22"/>
          <w:szCs w:val="22"/>
        </w:rPr>
        <w:t xml:space="preserve">Die Beklagte — Küchenkönig Manufaktur GmbH &amp; Co. KG, Paderborn-Sennelager — ist eine Manufaktur für gehobene Massivholzküchen mit 95 Mitarbeitern und einem Jahresumsatz von 24,5 Mio. EUR (2025). Die Gesellschaft wurde 1987 von Gerhard Geisen (†2015) gegründet und ist im Handelsregister des AG Paderborn unter HRA 4188 eingetragen.</w:t>
      </w:r>
    </w:p>
    <w:p>
      <w:pPr>
        <w:spacing w:after="120" w:line="276"/>
      </w:pPr>
      <w:r>
        <w:rPr>
          <w:rFonts w:ascii="Calibri" w:cs="Calibri" w:eastAsia="Calibri" w:hAnsi="Calibri"/>
          <w:b w:val="false"/>
          <w:bCs w:val="false"/>
          <w:sz w:val="22"/>
          <w:szCs w:val="22"/>
        </w:rPr>
        <w:t xml:space="preserve">Kläger zu 1) (Heinrich-Eberhard Geisen) ist alleiniger Gesellschafter und Geschäftsführer der Komplementärin (Küchenkönig Verwaltungs-GmbH, HRB 9241 AG Paderborn) und damit mittelbarer Gesellschafter mit einem Stimmgewicht von 26 %. Klägerin zu 2) (Cornelia Geisen-Wetterhof) ist Kommanditistin mit einem Kapitalanteil von 240.000 EUR (24 %). Kläger zu 3) (Stefan Geisen) ist Kommanditist mit einem Kapitalanteil von 200.000 EUR (20 %). Die Wittmann Family Holding KG hält 30 % (Kapitalanteil 300.000 EUR).</w:t>
      </w:r>
    </w:p>
    <w:p>
      <w:pPr>
        <w:spacing w:after="120"/>
      </w:pPr>
    </w:p>
    <w:p>
      <w:pPr>
        <w:pStyle w:val="Heading2"/>
        <w:spacing w:after="150" w:before="300"/>
      </w:pPr>
      <w:r>
        <w:t xml:space="preserve">2. Die Gesellschafterversammlung vom 14.04.2026 und der Squeeze-out-Beschluss</w:t>
      </w:r>
    </w:p>
    <w:p>
      <w:pPr>
        <w:spacing w:after="120" w:line="276"/>
      </w:pPr>
      <w:r>
        <w:rPr>
          <w:rFonts w:ascii="Calibri" w:cs="Calibri" w:eastAsia="Calibri" w:hAnsi="Calibri"/>
          <w:b w:val="false"/>
          <w:bCs w:val="false"/>
          <w:sz w:val="22"/>
          <w:szCs w:val="22"/>
        </w:rPr>
        <w:t xml:space="preserve">Die Wittmann Family Holding KG lud als Kommanditistin mit Schreiben vom 28. März 2026 (Einschreiben/Rückschein) zu einer außerordentlichen Gesellschafterversammlung am 14. April 2026 ein. Diese Einberufung war bereits formal rechtswidrig, da § 6 Abs. 1 des Gesellschaftsvertrages (Anlage K 1) das Einberufungsrecht ausschließlich dem Geschäftsführer der Komplementär-GmbH zuweist. Eine vorherige Aufforderung zur Einberufung, wie sie § 50 Abs. 3 GmbHG analog voraussetzt, ist nicht erfolgt.</w:t>
      </w:r>
    </w:p>
    <w:p>
      <w:pPr>
        <w:spacing w:after="120" w:line="276"/>
      </w:pPr>
      <w:r>
        <w:rPr>
          <w:rFonts w:ascii="Calibri" w:cs="Calibri" w:eastAsia="Calibri" w:hAnsi="Calibri"/>
          <w:b w:val="false"/>
          <w:bCs w:val="false"/>
          <w:sz w:val="22"/>
          <w:szCs w:val="22"/>
        </w:rPr>
        <w:t xml:space="preserve">Unter Tagesordnungspunkt 2 beantragte die Wittmann Family Holding KG den Ausschluss der Kläger aus der Gesellschaft gegen Buchwertabfindung gemäß § 9 Abs. 3 GV. Das Abstimmungsergebnis: 300 Stimmen (Wittmann Holding) für den Beschluss; 700 Stimmen (Kläger gemeinsam) dagegen. Der Vertreter der Wittmann Holding, CFO Dr. Helmut Werthebach, erklärte den Beschluss gleichwohl für angenommen, mit der Begründung, die Stimmen der Auszuschließenden seien nicht mitzuzählen. Diese Auslegung entbehrt jeder Rechtsgrundlage.</w:t>
      </w:r>
    </w:p>
    <w:p>
      <w:pPr>
        <w:spacing w:after="120"/>
      </w:pPr>
    </w:p>
    <w:p>
      <w:pPr>
        <w:pStyle w:val="Heading1"/>
        <w:spacing w:after="200" w:before="400"/>
      </w:pPr>
      <w:r>
        <w:t xml:space="preserve">III. Rechtliche Würdigung</w:t>
      </w:r>
    </w:p>
    <w:p>
      <w:pPr>
        <w:pStyle w:val="Heading2"/>
        <w:spacing w:after="150" w:before="300"/>
      </w:pPr>
      <w:r>
        <w:t xml:space="preserve">1. Einberufungsmangel (§ 51 Abs. 1 GmbHG analog)</w:t>
      </w:r>
    </w:p>
    <w:p>
      <w:pPr>
        <w:spacing w:after="120" w:line="276"/>
      </w:pPr>
      <w:r>
        <w:rPr>
          <w:rFonts w:ascii="Calibri" w:cs="Calibri" w:eastAsia="Calibri" w:hAnsi="Calibri"/>
          <w:b w:val="false"/>
          <w:bCs w:val="false"/>
          <w:sz w:val="22"/>
          <w:szCs w:val="22"/>
        </w:rPr>
        <w:t xml:space="preserve">Die Einberufung durch eine Kommanditistin ohne Einberufungsrecht infiziert die GV und alle auf ihr gefassten Beschlüsse mit Anfechtbarkeit. Keine Heilung erfolgte, da Kläger zu 1) ausdrücklich widersprach (kein Fall der Universalversammlung).</w:t>
      </w:r>
    </w:p>
    <w:p>
      <w:pPr>
        <w:pStyle w:val="Heading2"/>
        <w:spacing w:after="150" w:before="300"/>
      </w:pPr>
      <w:r>
        <w:t xml:space="preserve">2. Fehlende Beschlussmehrheit</w:t>
      </w:r>
    </w:p>
    <w:p>
      <w:pPr>
        <w:spacing w:after="120" w:line="276"/>
      </w:pPr>
      <w:r>
        <w:rPr>
          <w:rFonts w:ascii="Calibri" w:cs="Calibri" w:eastAsia="Calibri" w:hAnsi="Calibri"/>
          <w:b w:val="false"/>
          <w:bCs w:val="false"/>
          <w:sz w:val="22"/>
          <w:szCs w:val="22"/>
        </w:rPr>
        <w:t xml:space="preserve">300 Stimmen gegen 700 Stimmen ergeben keine Mehrheit nach § 7 GV. Die Stimmabzugstheorie des Dr. Werthebach findet im Gesellschaftsvertrag keine Stütze. Der Beschluss wurde mithin ohne ausreichende Mehrheit gefasst — eine eigenständige Nichtigkeitsursache.</w:t>
      </w:r>
    </w:p>
    <w:p>
      <w:pPr>
        <w:pStyle w:val="Heading2"/>
        <w:spacing w:after="150" w:before="300"/>
      </w:pPr>
      <w:r>
        <w:t xml:space="preserve">3. Kein wichtiger Grund</w:t>
      </w:r>
    </w:p>
    <w:p>
      <w:pPr>
        <w:spacing w:after="120" w:line="276"/>
      </w:pPr>
      <w:r>
        <w:rPr>
          <w:rFonts w:ascii="Calibri" w:cs="Calibri" w:eastAsia="Calibri" w:hAnsi="Calibri"/>
          <w:b w:val="false"/>
          <w:bCs w:val="false"/>
          <w:sz w:val="22"/>
          <w:szCs w:val="22"/>
        </w:rPr>
        <w:t xml:space="preserve">§ 9 Abs. 1 GV setzt einen wichtigen Grund voraus. Die legitime Ausübung von Stimmrechten durch die Mehrheitsgesellschafter begründet per definitionem keinen Ausschlussgrund (BGH, Urt. v. 13.01.2003, II ZR 282/01, BGHZ 153, 285). Kein wichtiger Grund liegt vor.</w:t>
      </w:r>
    </w:p>
    <w:p>
      <w:pPr>
        <w:pStyle w:val="Heading2"/>
        <w:spacing w:after="150" w:before="300"/>
      </w:pPr>
      <w:r>
        <w:t xml:space="preserve">4. Sittenwidrige Buchwertklausel (§ 138 BGB)</w:t>
      </w:r>
    </w:p>
    <w:p>
      <w:pPr>
        <w:spacing w:after="120" w:line="276"/>
      </w:pPr>
      <w:r>
        <w:rPr>
          <w:rFonts w:ascii="Calibri" w:cs="Calibri" w:eastAsia="Calibri" w:hAnsi="Calibri"/>
          <w:b w:val="false"/>
          <w:bCs w:val="false"/>
          <w:sz w:val="22"/>
          <w:szCs w:val="22"/>
        </w:rPr>
        <w:t xml:space="preserve">Der Buchwert des 70 %-Anteils der Kläger beträgt 2,38 Mio. EUR; der anteilige Ertragswert nach IDW S 1 beläuft sich auf 6,86 Mio. EUR (s. Gutachten Dr. Heidekämper, Anlage K 3). Die Diskrepanz von 4,48 Mio. EUR (188 %) überschreitet die von der Rechtsprechung tolerierte Schwelle bei weitem (BGH BGHZ 116, 359; BGH BGHZ 123, 281). Die Buchwertklausel in § 9 Abs. 3 GV ist nichtig (§ 138 Abs. 1 BGB).</w:t>
      </w:r>
    </w:p>
    <w:p>
      <w:pPr>
        <w:spacing w:after="120"/>
      </w:pPr>
    </w:p>
    <w:p>
      <w:pPr>
        <w:pStyle w:val="Heading1"/>
        <w:spacing w:after="200" w:before="400"/>
      </w:pPr>
      <w:r>
        <w:t xml:space="preserve">IV. Beweisangebote</w:t>
      </w:r>
    </w:p>
    <w:tbl>
      <w:tblPr>
        <w:tblW w:type="pct" w:w="100%"/>
        <w:tblBorders>
          <w:top w:val="single" w:color="auto" w:sz="4"/>
          <w:left w:val="single" w:color="auto" w:sz="4"/>
          <w:bottom w:val="single" w:color="auto" w:sz="4"/>
          <w:right w:val="single" w:color="auto" w:sz="4"/>
          <w:insideH w:val="single" w:color="auto" w:sz="4"/>
          <w:insideV w:val="single" w:color="auto" w:sz="4"/>
        </w:tblBorders>
        <w:tblCellMar>
          <w:top w:type="dxa" w:w="0"/>
          <w:bottom w:type="dxa" w:w="240"/>
        </w:tblCellMar>
      </w:tblPr>
      <w:tblGrid>
        <w:gridCol w:w="100"/>
        <w:gridCol w:w="100"/>
        <w:gridCol w:w="100"/>
      </w:tblGrid>
      <w:tr>
        <w:trPr>
          <w:tblHeader/>
        </w:trPr>
        <w:tc>
          <w:tcPr>
            <w:shd w:fill="1B474D"/>
            <w:tcMar>
              <w:top w:type="dxa" w:w="80"/>
              <w:left w:type="dxa" w:w="100"/>
              <w:bottom w:type="dxa" w:w="80"/>
              <w:right w:type="dxa" w:w="100"/>
            </w:tcMar>
          </w:tcPr>
          <w:p>
            <w:pPr>
              <w:spacing w:after="60"/>
            </w:pPr>
            <w:r>
              <w:rPr>
                <w:rFonts w:ascii="Calibri" w:cs="Calibri" w:eastAsia="Calibri" w:hAnsi="Calibri"/>
                <w:b/>
                <w:bCs/>
                <w:color w:val="FFFFFF"/>
                <w:sz w:val="20"/>
                <w:szCs w:val="20"/>
              </w:rPr>
              <w:t xml:space="preserve">Nr.</w:t>
            </w:r>
          </w:p>
        </w:tc>
        <w:tc>
          <w:tcPr>
            <w:shd w:fill="1B474D"/>
            <w:tcMar>
              <w:top w:type="dxa" w:w="80"/>
              <w:left w:type="dxa" w:w="100"/>
              <w:bottom w:type="dxa" w:w="80"/>
              <w:right w:type="dxa" w:w="100"/>
            </w:tcMar>
          </w:tcPr>
          <w:p>
            <w:pPr>
              <w:spacing w:after="60"/>
            </w:pPr>
            <w:r>
              <w:rPr>
                <w:rFonts w:ascii="Calibri" w:cs="Calibri" w:eastAsia="Calibri" w:hAnsi="Calibri"/>
                <w:b/>
                <w:bCs/>
                <w:color w:val="FFFFFF"/>
                <w:sz w:val="20"/>
                <w:szCs w:val="20"/>
              </w:rPr>
              <w:t xml:space="preserve">Beweisthema</w:t>
            </w:r>
          </w:p>
        </w:tc>
        <w:tc>
          <w:tcPr>
            <w:shd w:fill="1B474D"/>
            <w:tcMar>
              <w:top w:type="dxa" w:w="80"/>
              <w:left w:type="dxa" w:w="100"/>
              <w:bottom w:type="dxa" w:w="80"/>
              <w:right w:type="dxa" w:w="100"/>
            </w:tcMar>
          </w:tcPr>
          <w:p>
            <w:pPr>
              <w:spacing w:after="60"/>
            </w:pPr>
            <w:r>
              <w:rPr>
                <w:rFonts w:ascii="Calibri" w:cs="Calibri" w:eastAsia="Calibri" w:hAnsi="Calibri"/>
                <w:b/>
                <w:bCs/>
                <w:color w:val="FFFFFF"/>
                <w:sz w:val="20"/>
                <w:szCs w:val="20"/>
              </w:rPr>
              <w:t xml:space="preserve">Beweismittel</w:t>
            </w:r>
          </w:p>
        </w:tc>
      </w:tr>
      <w:tr>
        <w:tc>
          <w:tcPr>
            <w:shd w:fill="F9F8F5"/>
            <w:tcMar>
              <w:top w:type="dxa" w:w="80"/>
              <w:left w:type="dxa" w:w="100"/>
              <w:bottom w:type="dxa" w:w="80"/>
              <w:right w:type="dxa" w:w="100"/>
            </w:tcMar>
          </w:tcPr>
          <w:p>
            <w:pPr>
              <w:spacing w:after="60"/>
            </w:pPr>
            <w:r>
              <w:rPr>
                <w:rFonts w:ascii="Calibri" w:cs="Calibri" w:eastAsia="Calibri" w:hAnsi="Calibri"/>
                <w:sz w:val="20"/>
                <w:szCs w:val="20"/>
              </w:rPr>
              <w:t xml:space="preserve">K 1</w:t>
            </w:r>
          </w:p>
        </w:tc>
        <w:tc>
          <w:tcPr>
            <w:shd w:fill="F9F8F5"/>
            <w:tcMar>
              <w:top w:type="dxa" w:w="80"/>
              <w:left w:type="dxa" w:w="100"/>
              <w:bottom w:type="dxa" w:w="80"/>
              <w:right w:type="dxa" w:w="100"/>
            </w:tcMar>
          </w:tcPr>
          <w:p>
            <w:pPr>
              <w:spacing w:after="60"/>
            </w:pPr>
            <w:r>
              <w:rPr>
                <w:rFonts w:ascii="Calibri" w:cs="Calibri" w:eastAsia="Calibri" w:hAnsi="Calibri"/>
                <w:sz w:val="20"/>
                <w:szCs w:val="20"/>
              </w:rPr>
              <w:t xml:space="preserve">Gesellschaftsvertrag</w:t>
            </w:r>
          </w:p>
        </w:tc>
        <w:tc>
          <w:tcPr>
            <w:shd w:fill="F9F8F5"/>
            <w:tcMar>
              <w:top w:type="dxa" w:w="80"/>
              <w:left w:type="dxa" w:w="100"/>
              <w:bottom w:type="dxa" w:w="80"/>
              <w:right w:type="dxa" w:w="100"/>
            </w:tcMar>
          </w:tcPr>
          <w:p>
            <w:pPr>
              <w:spacing w:after="60"/>
            </w:pPr>
            <w:r>
              <w:rPr>
                <w:rFonts w:ascii="Calibri" w:cs="Calibri" w:eastAsia="Calibri" w:hAnsi="Calibri"/>
                <w:sz w:val="20"/>
                <w:szCs w:val="20"/>
              </w:rPr>
              <w:t xml:space="preserve">GV-Urkunde 14.03.1987 nebst Änderungen</w:t>
            </w:r>
          </w:p>
        </w:tc>
      </w:tr>
      <w:tr>
        <w:tc>
          <w:tcPr>
            <w:shd w:fill="FFFFFF"/>
            <w:tcMar>
              <w:top w:type="dxa" w:w="80"/>
              <w:left w:type="dxa" w:w="100"/>
              <w:bottom w:type="dxa" w:w="80"/>
              <w:right w:type="dxa" w:w="100"/>
            </w:tcMar>
          </w:tcPr>
          <w:p>
            <w:pPr>
              <w:spacing w:after="60"/>
            </w:pPr>
            <w:r>
              <w:rPr>
                <w:rFonts w:ascii="Calibri" w:cs="Calibri" w:eastAsia="Calibri" w:hAnsi="Calibri"/>
                <w:sz w:val="20"/>
                <w:szCs w:val="20"/>
              </w:rPr>
              <w:t xml:space="preserve">K 2</w:t>
            </w:r>
          </w:p>
        </w:tc>
        <w:tc>
          <w:tcPr>
            <w:shd w:fill="FFFFFF"/>
            <w:tcMar>
              <w:top w:type="dxa" w:w="80"/>
              <w:left w:type="dxa" w:w="100"/>
              <w:bottom w:type="dxa" w:w="80"/>
              <w:right w:type="dxa" w:w="100"/>
            </w:tcMar>
          </w:tcPr>
          <w:p>
            <w:pPr>
              <w:spacing w:after="60"/>
            </w:pPr>
            <w:r>
              <w:rPr>
                <w:rFonts w:ascii="Calibri" w:cs="Calibri" w:eastAsia="Calibri" w:hAnsi="Calibri"/>
                <w:sz w:val="20"/>
                <w:szCs w:val="20"/>
              </w:rPr>
              <w:t xml:space="preserve">GV-Protokoll 14.04.2026</w:t>
            </w:r>
          </w:p>
        </w:tc>
        <w:tc>
          <w:tcPr>
            <w:shd w:fill="FFFFFF"/>
            <w:tcMar>
              <w:top w:type="dxa" w:w="80"/>
              <w:left w:type="dxa" w:w="100"/>
              <w:bottom w:type="dxa" w:w="80"/>
              <w:right w:type="dxa" w:w="100"/>
            </w:tcMar>
          </w:tcPr>
          <w:p>
            <w:pPr>
              <w:spacing w:after="60"/>
            </w:pPr>
            <w:r>
              <w:rPr>
                <w:rFonts w:ascii="Calibri" w:cs="Calibri" w:eastAsia="Calibri" w:hAnsi="Calibri"/>
                <w:sz w:val="20"/>
                <w:szCs w:val="20"/>
              </w:rPr>
              <w:t xml:space="preserve">Notarielles Protokoll UR 441/2026</w:t>
            </w:r>
          </w:p>
        </w:tc>
      </w:tr>
      <w:tr>
        <w:tc>
          <w:tcPr>
            <w:shd w:fill="F9F8F5"/>
            <w:tcMar>
              <w:top w:type="dxa" w:w="80"/>
              <w:left w:type="dxa" w:w="100"/>
              <w:bottom w:type="dxa" w:w="80"/>
              <w:right w:type="dxa" w:w="100"/>
            </w:tcMar>
          </w:tcPr>
          <w:p>
            <w:pPr>
              <w:spacing w:after="60"/>
            </w:pPr>
            <w:r>
              <w:rPr>
                <w:rFonts w:ascii="Calibri" w:cs="Calibri" w:eastAsia="Calibri" w:hAnsi="Calibri"/>
                <w:sz w:val="20"/>
                <w:szCs w:val="20"/>
              </w:rPr>
              <w:t xml:space="preserve">K 3</w:t>
            </w:r>
          </w:p>
        </w:tc>
        <w:tc>
          <w:tcPr>
            <w:shd w:fill="F9F8F5"/>
            <w:tcMar>
              <w:top w:type="dxa" w:w="80"/>
              <w:left w:type="dxa" w:w="100"/>
              <w:bottom w:type="dxa" w:w="80"/>
              <w:right w:type="dxa" w:w="100"/>
            </w:tcMar>
          </w:tcPr>
          <w:p>
            <w:pPr>
              <w:spacing w:after="60"/>
            </w:pPr>
            <w:r>
              <w:rPr>
                <w:rFonts w:ascii="Calibri" w:cs="Calibri" w:eastAsia="Calibri" w:hAnsi="Calibri"/>
                <w:sz w:val="20"/>
                <w:szCs w:val="20"/>
              </w:rPr>
              <w:t xml:space="preserve">Ertragswert IDW S 1</w:t>
            </w:r>
          </w:p>
        </w:tc>
        <w:tc>
          <w:tcPr>
            <w:shd w:fill="F9F8F5"/>
            <w:tcMar>
              <w:top w:type="dxa" w:w="80"/>
              <w:left w:type="dxa" w:w="100"/>
              <w:bottom w:type="dxa" w:w="80"/>
              <w:right w:type="dxa" w:w="100"/>
            </w:tcMar>
          </w:tcPr>
          <w:p>
            <w:pPr>
              <w:spacing w:after="60"/>
            </w:pPr>
            <w:r>
              <w:rPr>
                <w:rFonts w:ascii="Calibri" w:cs="Calibri" w:eastAsia="Calibri" w:hAnsi="Calibri"/>
                <w:sz w:val="20"/>
                <w:szCs w:val="20"/>
              </w:rPr>
              <w:t xml:space="preserve">Gutachten Dr. Heidekämper HuS/2026/0088</w:t>
            </w:r>
          </w:p>
        </w:tc>
      </w:tr>
      <w:tr>
        <w:tc>
          <w:tcPr>
            <w:shd w:fill="FFFFFF"/>
            <w:tcMar>
              <w:top w:type="dxa" w:w="80"/>
              <w:left w:type="dxa" w:w="100"/>
              <w:bottom w:type="dxa" w:w="80"/>
              <w:right w:type="dxa" w:w="100"/>
            </w:tcMar>
          </w:tcPr>
          <w:p>
            <w:pPr>
              <w:spacing w:after="60"/>
            </w:pPr>
            <w:r>
              <w:rPr>
                <w:rFonts w:ascii="Calibri" w:cs="Calibri" w:eastAsia="Calibri" w:hAnsi="Calibri"/>
                <w:sz w:val="20"/>
                <w:szCs w:val="20"/>
              </w:rPr>
              <w:t xml:space="preserve">K 4</w:t>
            </w:r>
          </w:p>
        </w:tc>
        <w:tc>
          <w:tcPr>
            <w:shd w:fill="FFFFFF"/>
            <w:tcMar>
              <w:top w:type="dxa" w:w="80"/>
              <w:left w:type="dxa" w:w="100"/>
              <w:bottom w:type="dxa" w:w="80"/>
              <w:right w:type="dxa" w:w="100"/>
            </w:tcMar>
          </w:tcPr>
          <w:p>
            <w:pPr>
              <w:spacing w:after="60"/>
            </w:pPr>
            <w:r>
              <w:rPr>
                <w:rFonts w:ascii="Calibri" w:cs="Calibri" w:eastAsia="Calibri" w:hAnsi="Calibri"/>
                <w:sz w:val="20"/>
                <w:szCs w:val="20"/>
              </w:rPr>
              <w:t xml:space="preserve">Marktvergleich EV/EBIT</w:t>
            </w:r>
          </w:p>
        </w:tc>
        <w:tc>
          <w:tcPr>
            <w:shd w:fill="FFFFFF"/>
            <w:tcMar>
              <w:top w:type="dxa" w:w="80"/>
              <w:left w:type="dxa" w:w="100"/>
              <w:bottom w:type="dxa" w:w="80"/>
              <w:right w:type="dxa" w:w="100"/>
            </w:tcMar>
          </w:tcPr>
          <w:p>
            <w:pPr>
              <w:spacing w:after="60"/>
            </w:pPr>
            <w:r>
              <w:rPr>
                <w:rFonts w:ascii="Calibri" w:cs="Calibri" w:eastAsia="Calibri" w:hAnsi="Calibri"/>
                <w:sz w:val="20"/>
                <w:szCs w:val="20"/>
              </w:rPr>
              <w:t xml:space="preserve">EFCI-Branchenanalyse Q1 2026</w:t>
            </w:r>
          </w:p>
        </w:tc>
      </w:tr>
      <w:tr>
        <w:tc>
          <w:tcPr>
            <w:shd w:fill="F9F8F5"/>
            <w:tcMar>
              <w:top w:type="dxa" w:w="80"/>
              <w:left w:type="dxa" w:w="100"/>
              <w:bottom w:type="dxa" w:w="80"/>
              <w:right w:type="dxa" w:w="100"/>
            </w:tcMar>
          </w:tcPr>
          <w:p>
            <w:pPr>
              <w:spacing w:after="60"/>
            </w:pPr>
            <w:r>
              <w:rPr>
                <w:rFonts w:ascii="Calibri" w:cs="Calibri" w:eastAsia="Calibri" w:hAnsi="Calibri"/>
                <w:sz w:val="20"/>
                <w:szCs w:val="20"/>
              </w:rPr>
              <w:t xml:space="preserve">K 5</w:t>
            </w:r>
          </w:p>
        </w:tc>
        <w:tc>
          <w:tcPr>
            <w:shd w:fill="F9F8F5"/>
            <w:tcMar>
              <w:top w:type="dxa" w:w="80"/>
              <w:left w:type="dxa" w:w="100"/>
              <w:bottom w:type="dxa" w:w="80"/>
              <w:right w:type="dxa" w:w="100"/>
            </w:tcMar>
          </w:tcPr>
          <w:p>
            <w:pPr>
              <w:spacing w:after="60"/>
            </w:pPr>
            <w:r>
              <w:rPr>
                <w:rFonts w:ascii="Calibri" w:cs="Calibri" w:eastAsia="Calibri" w:hAnsi="Calibri"/>
                <w:sz w:val="20"/>
                <w:szCs w:val="20"/>
              </w:rPr>
              <w:t xml:space="preserve">Kein wichtiger Grund</w:t>
            </w:r>
          </w:p>
        </w:tc>
        <w:tc>
          <w:tcPr>
            <w:shd w:fill="F9F8F5"/>
            <w:tcMar>
              <w:top w:type="dxa" w:w="80"/>
              <w:left w:type="dxa" w:w="100"/>
              <w:bottom w:type="dxa" w:w="80"/>
              <w:right w:type="dxa" w:w="100"/>
            </w:tcMar>
          </w:tcPr>
          <w:p>
            <w:pPr>
              <w:spacing w:after="60"/>
            </w:pPr>
            <w:r>
              <w:rPr>
                <w:rFonts w:ascii="Calibri" w:cs="Calibri" w:eastAsia="Calibri" w:hAnsi="Calibri"/>
                <w:sz w:val="20"/>
                <w:szCs w:val="20"/>
              </w:rPr>
              <w:t xml:space="preserve">Schriftwechsel GV 22.09.2024</w:t>
            </w:r>
          </w:p>
        </w:tc>
      </w:tr>
      <w:tr>
        <w:tc>
          <w:tcPr>
            <w:shd w:fill="FFFFFF"/>
            <w:tcMar>
              <w:top w:type="dxa" w:w="80"/>
              <w:left w:type="dxa" w:w="100"/>
              <w:bottom w:type="dxa" w:w="80"/>
              <w:right w:type="dxa" w:w="100"/>
            </w:tcMar>
          </w:tcPr>
          <w:p>
            <w:pPr>
              <w:spacing w:after="60"/>
            </w:pPr>
            <w:r>
              <w:rPr>
                <w:rFonts w:ascii="Calibri" w:cs="Calibri" w:eastAsia="Calibri" w:hAnsi="Calibri"/>
                <w:sz w:val="20"/>
                <w:szCs w:val="20"/>
              </w:rPr>
              <w:t xml:space="preserve">K 6</w:t>
            </w:r>
          </w:p>
        </w:tc>
        <w:tc>
          <w:tcPr>
            <w:shd w:fill="FFFFFF"/>
            <w:tcMar>
              <w:top w:type="dxa" w:w="80"/>
              <w:left w:type="dxa" w:w="100"/>
              <w:bottom w:type="dxa" w:w="80"/>
              <w:right w:type="dxa" w:w="100"/>
            </w:tcMar>
          </w:tcPr>
          <w:p>
            <w:pPr>
              <w:spacing w:after="60"/>
            </w:pPr>
            <w:r>
              <w:rPr>
                <w:rFonts w:ascii="Calibri" w:cs="Calibri" w:eastAsia="Calibri" w:hAnsi="Calibri"/>
                <w:sz w:val="20"/>
                <w:szCs w:val="20"/>
              </w:rPr>
              <w:t xml:space="preserve">Widerspruch der Kläger</w:t>
            </w:r>
          </w:p>
        </w:tc>
        <w:tc>
          <w:tcPr>
            <w:shd w:fill="FFFFFF"/>
            <w:tcMar>
              <w:top w:type="dxa" w:w="80"/>
              <w:left w:type="dxa" w:w="100"/>
              <w:bottom w:type="dxa" w:w="80"/>
              <w:right w:type="dxa" w:w="100"/>
            </w:tcMar>
          </w:tcPr>
          <w:p>
            <w:pPr>
              <w:spacing w:after="60"/>
            </w:pPr>
            <w:r>
              <w:rPr>
                <w:rFonts w:ascii="Calibri" w:cs="Calibri" w:eastAsia="Calibri" w:hAnsi="Calibri"/>
                <w:sz w:val="20"/>
                <w:szCs w:val="20"/>
              </w:rPr>
              <w:t xml:space="preserve">Notarielle Erklärung, UR 441/2026</w:t>
            </w:r>
          </w:p>
        </w:tc>
      </w:tr>
    </w:tbl>
    <w:p>
      <w:pPr>
        <w:spacing w:after="120"/>
      </w:pPr>
    </w:p>
    <w:p>
      <w:pPr>
        <w:pStyle w:val="Heading1"/>
        <w:spacing w:after="200" w:before="400"/>
      </w:pPr>
      <w:r>
        <w:t xml:space="preserve">V. Streitwert und Gerichtskosten</w:t>
      </w:r>
    </w:p>
    <w:p>
      <w:pPr>
        <w:spacing w:after="120" w:line="276"/>
      </w:pPr>
      <w:r>
        <w:rPr>
          <w:rFonts w:ascii="Calibri" w:cs="Calibri" w:eastAsia="Calibri" w:hAnsi="Calibri"/>
          <w:b w:val="false"/>
          <w:bCs w:val="false"/>
          <w:sz w:val="22"/>
          <w:szCs w:val="22"/>
        </w:rPr>
        <w:t xml:space="preserve">Der Streitwert wird auf 6.400.000 EUR festgesetzt (Differenz Ertragswert gesamt 9,8 Mio. EUR minus Buchwert gesamt 3,4 Mio. EUR). Der Gerichtskostenvorschuss in Höhe von 58.600 EUR wird gleichzeitig eingezahlt.</w:t>
      </w:r>
    </w:p>
    <w:p>
      <w:pPr>
        <w:spacing w:after="120"/>
      </w:pPr>
    </w:p>
    <w:p>
      <w:pPr>
        <w:spacing w:before="800"/>
      </w:pPr>
      <w:r>
        <w:rPr>
          <w:rFonts w:ascii="Calibri" w:cs="Calibri" w:eastAsia="Calibri" w:hAnsi="Calibri"/>
          <w:b/>
          <w:bCs/>
          <w:sz w:val="22"/>
          <w:szCs w:val="22"/>
        </w:rPr>
        <w:t xml:space="preserve">Prof. Dr. Wieland Drosselberg</w:t>
      </w:r>
    </w:p>
    <w:p>
      <w:pPr>
        <w:spacing w:after="120" w:line="276"/>
      </w:pPr>
      <w:r>
        <w:rPr>
          <w:rFonts w:ascii="Calibri" w:cs="Calibri" w:eastAsia="Calibri" w:hAnsi="Calibri"/>
          <w:b w:val="false"/>
          <w:bCs w:val="false"/>
          <w:sz w:val="22"/>
          <w:szCs w:val="22"/>
        </w:rPr>
        <w:t xml:space="preserve">Rechtsanwalt</w:t>
      </w:r>
    </w:p>
    <w:p>
      <w:pPr>
        <w:spacing w:after="120" w:line="276"/>
      </w:pPr>
      <w:r>
        <w:rPr>
          <w:rFonts w:ascii="Calibri" w:cs="Calibri" w:eastAsia="Calibri" w:hAnsi="Calibri"/>
          <w:b w:val="false"/>
          <w:bCs w:val="false"/>
          <w:sz w:val="22"/>
          <w:szCs w:val="22"/>
        </w:rPr>
        <w:t xml:space="preserve">Kanzlei Drosselberg, Wegener, Sandtenbruch &amp; Partner</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Anfechtungsklage LG Bielefeld 3 O 41/26</dc:title>
  <dc:creator>Kanzlei Drosselberg, Wegener, Sandtenbruch &amp; Partner</dc:creator>
  <dc:description>Klageschrift gegen Squeeze-out-Beschluss vom 14.04.2026</dc:description>
  <cp:lastModifiedBy>Un-named</cp:lastModifiedBy>
  <cp:revision>1</cp:revision>
  <dcterms:created xsi:type="dcterms:W3CDTF">2026-05-30T16:44:50.072Z</dcterms:created>
  <dcterms:modified xsi:type="dcterms:W3CDTF">2026-05-30T16:44:50.072Z</dcterms:modified>
</cp:coreProperties>
</file>

<file path=docProps/custom.xml><?xml version="1.0" encoding="utf-8"?>
<Properties xmlns="http://schemas.openxmlformats.org/officeDocument/2006/custom-properties" xmlns:vt="http://schemas.openxmlformats.org/officeDocument/2006/docPropsVTypes"/>
</file>