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rFonts w:ascii="Calibri" w:cs="Calibri" w:eastAsia="Calibri" w:hAnsi="Calibri"/>
          <w:b/>
          <w:bCs/>
          <w:sz w:val="24"/>
          <w:szCs w:val="24"/>
        </w:rPr>
        <w:t xml:space="preserve">Kanzlei Drosselberg, Wegener, Sandtenbruch &amp; Partner Rechtsanwälte</w:t>
      </w:r>
    </w:p>
    <w:p>
      <w:pPr>
        <w:jc w:val="right"/>
      </w:pPr>
      <w:r>
        <w:rPr>
          <w:rFonts w:ascii="Calibri" w:cs="Calibri" w:eastAsia="Calibri" w:hAnsi="Calibri"/>
          <w:sz w:val="20"/>
          <w:szCs w:val="20"/>
        </w:rPr>
        <w:t xml:space="preserve">Kaiser-Wilhelm-Str. 44 · 33602 Bielefeld</w:t>
      </w:r>
    </w:p>
    <w:p>
      <w:pPr>
        <w:spacing w:after="120"/>
      </w:pPr>
    </w:p>
    <w:p>
      <w:pPr>
        <w:jc w:val="right"/>
      </w:pPr>
      <w:r>
        <w:rPr>
          <w:rFonts w:ascii="Calibri" w:cs="Calibri" w:eastAsia="Calibri" w:hAnsi="Calibri"/>
          <w:sz w:val="22"/>
          <w:szCs w:val="22"/>
        </w:rPr>
        <w:t xml:space="preserve">Bielefeld, den 15. April 2026</w:t>
      </w:r>
    </w:p>
    <w:p>
      <w:pPr>
        <w:spacing w:after="120"/>
      </w:pPr>
    </w:p>
    <w:p>
      <w:r>
        <w:rPr>
          <w:rFonts w:ascii="Calibri" w:cs="Calibri" w:eastAsia="Calibri" w:hAnsi="Calibri"/>
          <w:b/>
          <w:bCs/>
          <w:sz w:val="22"/>
          <w:szCs w:val="22"/>
        </w:rPr>
        <w:t xml:space="preserve">Oberlandesgericht Hamm</w:t>
      </w:r>
    </w:p>
    <w:p>
      <w:pPr>
        <w:spacing w:after="120" w:line="276"/>
      </w:pPr>
      <w:r>
        <w:rPr>
          <w:rFonts w:ascii="Calibri" w:cs="Calibri" w:eastAsia="Calibri" w:hAnsi="Calibri"/>
          <w:b w:val="false"/>
          <w:bCs w:val="false"/>
          <w:sz w:val="22"/>
          <w:szCs w:val="22"/>
        </w:rPr>
        <w:t xml:space="preserve">27. Zivilsenat — Registersachen</w:t>
      </w:r>
    </w:p>
    <w:p>
      <w:pPr>
        <w:spacing w:after="120" w:line="276"/>
      </w:pPr>
      <w:r>
        <w:rPr>
          <w:rFonts w:ascii="Calibri" w:cs="Calibri" w:eastAsia="Calibri" w:hAnsi="Calibri"/>
          <w:b w:val="false"/>
          <w:bCs w:val="false"/>
          <w:sz w:val="22"/>
          <w:szCs w:val="22"/>
        </w:rPr>
        <w:t xml:space="preserve">Heßlerstraße 53, 59065 Hamm</w:t>
      </w:r>
    </w:p>
    <w:p>
      <w:pPr>
        <w:spacing w:after="120"/>
      </w:pPr>
    </w:p>
    <w:p>
      <w:pPr>
        <w:spacing w:after="120" w:line="276"/>
      </w:pPr>
      <w:r>
        <w:rPr>
          <w:rFonts w:ascii="Calibri" w:cs="Calibri" w:eastAsia="Calibri" w:hAnsi="Calibri"/>
          <w:b w:val="false"/>
          <w:bCs w:val="false"/>
          <w:sz w:val="22"/>
          <w:szCs w:val="22"/>
        </w:rPr>
        <w:t xml:space="preserve">Az.: 27 Wx 22/26 (Vorinstanz: AG Paderborn, HRA 4188)</w:t>
      </w:r>
    </w:p>
    <w:p>
      <w:pPr>
        <w:spacing w:after="120"/>
      </w:pPr>
    </w:p>
    <w:p>
      <w:pPr>
        <w:spacing w:after="400" w:before="400"/>
        <w:jc w:val="center"/>
      </w:pPr>
      <w:r>
        <w:rPr>
          <w:rFonts w:ascii="Calibri" w:cs="Calibri" w:eastAsia="Calibri" w:hAnsi="Calibri"/>
          <w:b/>
          <w:bCs/>
          <w:sz w:val="28"/>
          <w:szCs w:val="28"/>
        </w:rPr>
        <w:t xml:space="preserve">ERWIDERUNG AUF BESCHWERDESCHRIFT</w:t>
      </w:r>
    </w:p>
    <w:p>
      <w:pPr>
        <w:spacing w:after="120" w:line="276"/>
      </w:pPr>
      <w:r>
        <w:rPr>
          <w:rFonts w:ascii="Calibri" w:cs="Calibri" w:eastAsia="Calibri" w:hAnsi="Calibri"/>
          <w:b w:val="false"/>
          <w:bCs w:val="false"/>
          <w:sz w:val="22"/>
          <w:szCs w:val="22"/>
        </w:rPr>
        <w:t xml:space="preserve">In der Beschwerdesache</w:t>
      </w:r>
    </w:p>
    <w:p>
      <w:pPr>
        <w:spacing w:after="120"/>
      </w:pPr>
    </w:p>
    <w:p>
      <w:pPr>
        <w:spacing w:after="120" w:line="276"/>
      </w:pPr>
      <w:r>
        <w:rPr>
          <w:rFonts w:ascii="Calibri" w:cs="Calibri" w:eastAsia="Calibri" w:hAnsi="Calibri"/>
          <w:b w:val="false"/>
          <w:bCs w:val="false"/>
          <w:sz w:val="22"/>
          <w:szCs w:val="22"/>
        </w:rPr>
        <w:t xml:space="preserve">Wittmann Family Holding KG — Beschwerdeführerin —</w:t>
      </w:r>
    </w:p>
    <w:p>
      <w:pPr>
        <w:spacing w:after="120"/>
      </w:pPr>
    </w:p>
    <w:p>
      <w:pPr>
        <w:spacing w:after="120" w:line="276"/>
      </w:pPr>
      <w:r>
        <w:rPr>
          <w:rFonts w:ascii="Calibri" w:cs="Calibri" w:eastAsia="Calibri" w:hAnsi="Calibri"/>
          <w:b w:val="false"/>
          <w:bCs w:val="false"/>
          <w:sz w:val="22"/>
          <w:szCs w:val="22"/>
        </w:rPr>
        <w:t xml:space="preserve">gegen</w:t>
      </w:r>
    </w:p>
    <w:p>
      <w:pPr>
        <w:spacing w:after="120"/>
      </w:pPr>
    </w:p>
    <w:p>
      <w:pPr>
        <w:spacing w:after="120" w:line="276"/>
      </w:pPr>
      <w:r>
        <w:rPr>
          <w:rFonts w:ascii="Calibri" w:cs="Calibri" w:eastAsia="Calibri" w:hAnsi="Calibri"/>
          <w:b w:val="false"/>
          <w:bCs w:val="false"/>
          <w:sz w:val="22"/>
          <w:szCs w:val="22"/>
        </w:rPr>
        <w:t xml:space="preserve">Küchenkönig Manufaktur GmbH &amp; Co. KG,</w:t>
      </w:r>
    </w:p>
    <w:p>
      <w:pPr>
        <w:spacing w:after="120" w:line="276"/>
      </w:pPr>
      <w:r>
        <w:rPr>
          <w:rFonts w:ascii="Calibri" w:cs="Calibri" w:eastAsia="Calibri" w:hAnsi="Calibri"/>
          <w:b w:val="false"/>
          <w:bCs w:val="false"/>
          <w:sz w:val="22"/>
          <w:szCs w:val="22"/>
        </w:rPr>
        <w:t xml:space="preserve">vertreten durch die Komplementärin Küchenkönig Verwaltungs-GmbH,</w:t>
      </w:r>
    </w:p>
    <w:p>
      <w:pPr>
        <w:spacing w:after="120" w:line="276"/>
      </w:pPr>
      <w:r>
        <w:rPr>
          <w:rFonts w:ascii="Calibri" w:cs="Calibri" w:eastAsia="Calibri" w:hAnsi="Calibri"/>
          <w:b w:val="false"/>
          <w:bCs w:val="false"/>
          <w:sz w:val="22"/>
          <w:szCs w:val="22"/>
        </w:rPr>
        <w:t xml:space="preserve">GF Heinrich-Eberhard Geisen — Beschwerdegegner —</w:t>
      </w:r>
    </w:p>
    <w:p>
      <w:pPr>
        <w:spacing w:after="120"/>
      </w:pPr>
    </w:p>
    <w:p>
      <w:pPr>
        <w:spacing w:after="120" w:line="276"/>
      </w:pPr>
      <w:r>
        <w:rPr>
          <w:rFonts w:ascii="Calibri" w:cs="Calibri" w:eastAsia="Calibri" w:hAnsi="Calibri"/>
          <w:b w:val="false"/>
          <w:bCs w:val="false"/>
          <w:sz w:val="22"/>
          <w:szCs w:val="22"/>
        </w:rPr>
        <w:t xml:space="preserve">betreffend den Ablehnungsbeschluss des Amtsgerichts Paderborn, Registergericht, vom 07. März 2026, Aktenzeichen HRA 4188 (Antrag auf Eintragung des Formwechsels in eine Investment-AG).</w:t>
      </w:r>
    </w:p>
    <w:p>
      <w:pPr>
        <w:spacing w:after="120"/>
      </w:pPr>
    </w:p>
    <w:p>
      <w:pPr>
        <w:pStyle w:val="Heading1"/>
        <w:spacing w:after="200" w:before="400"/>
      </w:pPr>
      <w:r>
        <w:t xml:space="preserve">I. Zulässigkeit der Erwiderung</w:t>
      </w:r>
    </w:p>
    <w:p>
      <w:pPr>
        <w:spacing w:after="120" w:line="276"/>
      </w:pPr>
      <w:r>
        <w:rPr>
          <w:rFonts w:ascii="Calibri" w:cs="Calibri" w:eastAsia="Calibri" w:hAnsi="Calibri"/>
          <w:b w:val="false"/>
          <w:bCs w:val="false"/>
          <w:sz w:val="22"/>
          <w:szCs w:val="22"/>
        </w:rPr>
        <w:t xml:space="preserve">Der Beschwerdegegner ist nach §§ 67 Abs. 1 i.V.m. 59 Abs. 2 FamFG am Beschwerdeverfahren zu beteiligen. Die Erwiderung wird fristgemäß innerhalb der vom Gericht gesetzten Frist eingereicht.</w:t>
      </w:r>
    </w:p>
    <w:p>
      <w:pPr>
        <w:spacing w:after="120"/>
      </w:pPr>
    </w:p>
    <w:p>
      <w:pPr>
        <w:pStyle w:val="Heading1"/>
        <w:spacing w:after="200" w:before="400"/>
      </w:pPr>
      <w:r>
        <w:t xml:space="preserve">II. Zusammenfassung der Beschwerdebegründung der Beschwerdeführerin</w:t>
      </w:r>
    </w:p>
    <w:p>
      <w:pPr>
        <w:spacing w:after="120" w:line="276"/>
      </w:pPr>
      <w:r>
        <w:rPr>
          <w:rFonts w:ascii="Calibri" w:cs="Calibri" w:eastAsia="Calibri" w:hAnsi="Calibri"/>
          <w:b w:val="false"/>
          <w:bCs w:val="false"/>
          <w:sz w:val="22"/>
          <w:szCs w:val="22"/>
        </w:rPr>
        <w:t xml:space="preserve">Die Wittmann Family Holding KG macht folgende Beschwerdegründe geltend:</w:t>
      </w:r>
    </w:p>
    <w:p>
      <w:pPr>
        <w:spacing w:after="120" w:line="276"/>
        <w:ind w:left="720"/>
      </w:pPr>
      <w:r>
        <w:rPr>
          <w:rFonts w:ascii="Calibri" w:cs="Calibri" w:eastAsia="Calibri" w:hAnsi="Calibri"/>
          <w:b w:val="false"/>
          <w:bCs w:val="false"/>
          <w:sz w:val="22"/>
          <w:szCs w:val="22"/>
        </w:rPr>
        <w:t xml:space="preserve">(a) Die Stimmen der Komplementär-GmbH seien wegen Interessenkonflikts nicht zu berücksichtigen; damit liege eine 50 %-Mehrheit vor, die der Beschwerdeführerin genüge.</w:t>
      </w:r>
    </w:p>
    <w:p>
      <w:pPr>
        <w:spacing w:after="120" w:line="276"/>
        <w:ind w:left="720"/>
      </w:pPr>
      <w:r>
        <w:rPr>
          <w:rFonts w:ascii="Calibri" w:cs="Calibri" w:eastAsia="Calibri" w:hAnsi="Calibri"/>
          <w:b w:val="false"/>
          <w:bCs w:val="false"/>
          <w:sz w:val="22"/>
          <w:szCs w:val="22"/>
        </w:rPr>
        <w:t xml:space="preserve">(b) Die Komplementärin sei aus Treuepflichtgründen verpflichtet, dem Formwechsel zuzustimmen.</w:t>
      </w:r>
    </w:p>
    <w:p>
      <w:pPr>
        <w:spacing w:after="120" w:line="276"/>
        <w:ind w:left="720"/>
      </w:pPr>
      <w:r>
        <w:rPr>
          <w:rFonts w:ascii="Calibri" w:cs="Calibri" w:eastAsia="Calibri" w:hAnsi="Calibri"/>
          <w:b w:val="false"/>
          <w:bCs w:val="false"/>
          <w:sz w:val="22"/>
          <w:szCs w:val="22"/>
        </w:rPr>
        <w:t xml:space="preserve">(c) Hilfsweise sei Gelegenheit zur Nachbesserung der Umwandlungsdokumentation zu geben.</w:t>
      </w:r>
    </w:p>
    <w:p>
      <w:pPr>
        <w:spacing w:after="120"/>
      </w:pPr>
    </w:p>
    <w:p>
      <w:pPr>
        <w:pStyle w:val="Heading1"/>
        <w:spacing w:after="200" w:before="400"/>
      </w:pPr>
      <w:r>
        <w:t xml:space="preserve">III. Erwiderung des Beschwerdegegners</w:t>
      </w:r>
    </w:p>
    <w:p>
      <w:pPr>
        <w:pStyle w:val="Heading2"/>
        <w:spacing w:after="150" w:before="300"/>
      </w:pPr>
      <w:r>
        <w:t xml:space="preserve">1. Zur Mehrheitsfrage: § 214 Abs. 1 UmwG ist eindeutig</w:t>
      </w:r>
    </w:p>
    <w:p>
      <w:pPr>
        <w:spacing w:after="120" w:line="276"/>
      </w:pPr>
      <w:r>
        <w:rPr>
          <w:rFonts w:ascii="Calibri" w:cs="Calibri" w:eastAsia="Calibri" w:hAnsi="Calibri"/>
          <w:b w:val="false"/>
          <w:bCs w:val="false"/>
          <w:sz w:val="22"/>
          <w:szCs w:val="22"/>
        </w:rPr>
        <w:t xml:space="preserve">§ 214 Abs. 1 UmwG verlangt eine Mehrheit von 75 % der Stimmen. Diese Anforderung ist zwingend und unterliegt keiner gesellschaftsvertraglichen Unterschreitung. Unabhängig davon, ob man die Stimmen der Komplementär-GmbH berücksichtigt oder nicht:</w:t>
      </w:r>
    </w:p>
    <w:p>
      <w:pPr>
        <w:spacing w:after="120" w:line="276"/>
        <w:ind w:left="720"/>
      </w:pPr>
      <w:r>
        <w:rPr>
          <w:rFonts w:ascii="Calibri" w:cs="Calibri" w:eastAsia="Calibri" w:hAnsi="Calibri"/>
          <w:b w:val="false"/>
          <w:bCs w:val="false"/>
          <w:sz w:val="22"/>
          <w:szCs w:val="22"/>
        </w:rPr>
        <w:t xml:space="preserve">• Mit Komplementär-GmbH (1.000 Stimmen gesamt): 50 % (Wittmann + Stefan) &lt; 75 % — kein Formwechsel möglich</w:t>
      </w:r>
    </w:p>
    <w:p>
      <w:pPr>
        <w:spacing w:after="120" w:line="276"/>
        <w:ind w:left="720"/>
      </w:pPr>
      <w:r>
        <w:rPr>
          <w:rFonts w:ascii="Calibri" w:cs="Calibri" w:eastAsia="Calibri" w:hAnsi="Calibri"/>
          <w:b w:val="false"/>
          <w:bCs w:val="false"/>
          <w:sz w:val="22"/>
          <w:szCs w:val="22"/>
        </w:rPr>
        <w:t xml:space="preserve">• Ohne Komplementär-GmbH (740 Stimmen verbleibend): 300 (Wittmann) + 200 (Stefan) = 500 von 740 = 67,6 % &lt; 75 % — kein Formwechsel möglich</w:t>
      </w:r>
    </w:p>
    <w:p>
      <w:pPr>
        <w:spacing w:after="120" w:line="276"/>
      </w:pPr>
      <w:r>
        <w:rPr>
          <w:rFonts w:ascii="Calibri" w:cs="Calibri" w:eastAsia="Calibri" w:hAnsi="Calibri"/>
          <w:b w:val="false"/>
          <w:bCs w:val="false"/>
          <w:sz w:val="22"/>
          <w:szCs w:val="22"/>
        </w:rPr>
        <w:t xml:space="preserve">In keiner Konstellation wird die 75 %-Schwelle erreicht. Die Beschwerde ist schon deshalb unbegründet.</w:t>
      </w:r>
    </w:p>
    <w:p>
      <w:pPr>
        <w:spacing w:after="120"/>
      </w:pPr>
    </w:p>
    <w:p>
      <w:pPr>
        <w:pStyle w:val="Heading2"/>
        <w:spacing w:after="150" w:before="300"/>
      </w:pPr>
      <w:r>
        <w:t xml:space="preserve">2. Zur Zustimmungspflicht der Komplementärin (§ 228 UmwG)</w:t>
      </w:r>
    </w:p>
    <w:p>
      <w:pPr>
        <w:spacing w:after="120" w:line="276"/>
      </w:pPr>
      <w:r>
        <w:rPr>
          <w:rFonts w:ascii="Calibri" w:cs="Calibri" w:eastAsia="Calibri" w:hAnsi="Calibri"/>
          <w:b w:val="false"/>
          <w:bCs w:val="false"/>
          <w:sz w:val="22"/>
          <w:szCs w:val="22"/>
        </w:rPr>
        <w:t xml:space="preserve">§ 228 UmwG setzt für den Formwechsel einer KG in eine AG die Zustimmung aller persönlich haftenden Gesellschafter voraus. Diese Regelung ist absolut zwingend; eine gerichtliche Ersetzung der Zustimmung ist im UmwG nicht vorgesehen. Die Komplementär-GmbH hat die Zustimmung verweigert — damit ist der Formwechsel bereits aus diesem selbstständigen Grund undurchführbar.</w:t>
      </w:r>
    </w:p>
    <w:p>
      <w:pPr>
        <w:spacing w:after="120" w:line="276"/>
      </w:pPr>
      <w:r>
        <w:rPr>
          <w:rFonts w:ascii="Calibri" w:cs="Calibri" w:eastAsia="Calibri" w:hAnsi="Calibri"/>
          <w:b w:val="false"/>
          <w:bCs w:val="false"/>
          <w:sz w:val="22"/>
          <w:szCs w:val="22"/>
        </w:rPr>
        <w:t xml:space="preserve">Die von der Beschwerdeführerin herangezogene Treuepflicht-Argumentation vermag nicht zu überzeugen. Es ist ständige Rechtsprechung des BGH (Urt. v. 25.02.1965, II ZR 287/63 — BGHZ 44, 40), dass Gesellschafter zur Zustimmung zu Strukturmaßnahmen nur dann verpflichtet sind, wenn die Gesellschaft erkennbar auf die Zustimmung angewiesen ist und die Zustimmungsverweigerung rechtsmissbräuchlich ist. Beide Voraussetzungen sind hier nicht erfüllt: Die Formwechsel-Initiative dient ausschließlich den Interessen der Wittmann Holding (Kapitalmarktöffnung); die Komplementär-GmbH hat legitime Gründe zur Ablehnung (Sicherung der Familienstruktur, Schutz vor Verwässerung).</w:t>
      </w:r>
    </w:p>
    <w:p>
      <w:pPr>
        <w:spacing w:after="120"/>
      </w:pPr>
    </w:p>
    <w:p>
      <w:pPr>
        <w:pStyle w:val="Heading2"/>
        <w:spacing w:after="150" w:before="300"/>
      </w:pPr>
      <w:r>
        <w:t xml:space="preserve">3. Hilfsantrag: Kein schutzwürdiges Interesse an Nachbesserungsgelegenheit</w:t>
      </w:r>
    </w:p>
    <w:p>
      <w:pPr>
        <w:spacing w:after="120" w:line="276"/>
      </w:pPr>
      <w:r>
        <w:rPr>
          <w:rFonts w:ascii="Calibri" w:cs="Calibri" w:eastAsia="Calibri" w:hAnsi="Calibri"/>
          <w:b w:val="false"/>
          <w:bCs w:val="false"/>
          <w:sz w:val="22"/>
          <w:szCs w:val="22"/>
        </w:rPr>
        <w:t xml:space="preserve">Selbst wenn das OLG die Beschwerde nicht vollständig abweist und eine Rückverweisung für eine Nachbesserung in Betracht zieht, würde dies am Grundsatzproblem nichts ändern: Die fehlende 75 %-Mehrheit und die fehlende Zustimmung der Komplementärin lassen sich nicht durch Nachreichung von Unterlagen beheben. Eine Nachbesserungsgelegenheit wäre prozessökonomisch sinnlos.</w:t>
      </w:r>
    </w:p>
    <w:p>
      <w:pPr>
        <w:spacing w:after="120"/>
      </w:pPr>
    </w:p>
    <w:p>
      <w:pPr>
        <w:pStyle w:val="Heading1"/>
        <w:spacing w:after="200" w:before="400"/>
      </w:pPr>
      <w:r>
        <w:t xml:space="preserve">IV. Antrag</w:t>
      </w:r>
    </w:p>
    <w:p>
      <w:pPr>
        <w:pBdr>
          <w:left w:val="single" w:color="20808D" w:sz="6"/>
        </w:pBdr>
        <w:spacing w:after="120" w:line="276"/>
        <w:ind w:left="720" w:right="720"/>
      </w:pPr>
      <w:r>
        <w:rPr>
          <w:rFonts w:ascii="Calibri" w:cs="Calibri" w:eastAsia="Calibri" w:hAnsi="Calibri"/>
          <w:i/>
          <w:iCs/>
          <w:sz w:val="20"/>
          <w:szCs w:val="20"/>
        </w:rPr>
        <w:t xml:space="preserve">Die Beschwerde der Wittmann Family Holding KG wird zurückgewiesen.</w:t>
      </w:r>
    </w:p>
    <w:p>
      <w:pPr>
        <w:spacing w:after="120"/>
      </w:pPr>
    </w:p>
    <w:p>
      <w:pPr>
        <w:pBdr>
          <w:left w:val="single" w:color="20808D" w:sz="6"/>
        </w:pBdr>
        <w:spacing w:after="120" w:line="276"/>
        <w:ind w:left="720" w:right="720"/>
      </w:pPr>
      <w:r>
        <w:rPr>
          <w:rFonts w:ascii="Calibri" w:cs="Calibri" w:eastAsia="Calibri" w:hAnsi="Calibri"/>
          <w:i/>
          <w:iCs/>
          <w:sz w:val="20"/>
          <w:szCs w:val="20"/>
        </w:rPr>
        <w:t xml:space="preserve">Die Kosten des Beschwerdeverfahrens trägt die Beschwerdeführerin (§ 84 FamFG).</w:t>
      </w:r>
    </w:p>
    <w:p>
      <w:pPr>
        <w:spacing w:after="120"/>
      </w:pPr>
    </w:p>
    <w:p>
      <w:pPr>
        <w:pStyle w:val="Heading1"/>
        <w:spacing w:after="200" w:before="400"/>
      </w:pPr>
      <w:r>
        <w:t xml:space="preserve">V. Rechtsmittel</w:t>
      </w:r>
    </w:p>
    <w:p>
      <w:pPr>
        <w:spacing w:after="120" w:line="276"/>
      </w:pPr>
      <w:r>
        <w:rPr>
          <w:rFonts w:ascii="Calibri" w:cs="Calibri" w:eastAsia="Calibri" w:hAnsi="Calibri"/>
          <w:b w:val="false"/>
          <w:bCs w:val="false"/>
          <w:sz w:val="22"/>
          <w:szCs w:val="22"/>
        </w:rPr>
        <w:t xml:space="preserve">Sollte das OLG Hamm der Beschwerde stattgeben, behalten sich die Beschwerdegegner die Einlegung einer Rechtsbeschwerde zum BGH (§ 70 FamFG) vor. Die grundsätzliche Bedeutung der Frage, ob und unter welchen Voraussetzungen die Stimme der Komplementärin bei der 75 %-Mehrheit nach § 214 UmwG unberücksichtigt bleibt, rechtfertigt die Zulassung.</w:t>
      </w:r>
    </w:p>
    <w:p>
      <w:pPr>
        <w:spacing w:after="120"/>
      </w:pPr>
    </w:p>
    <w:p>
      <w:pPr>
        <w:spacing w:before="800"/>
      </w:pPr>
      <w:r>
        <w:rPr>
          <w:rFonts w:ascii="Calibri" w:cs="Calibri" w:eastAsia="Calibri" w:hAnsi="Calibri"/>
          <w:b/>
          <w:bCs/>
          <w:sz w:val="22"/>
          <w:szCs w:val="22"/>
        </w:rPr>
        <w:t xml:space="preserve">Ass. iur. Miriam Sandtenbruch</w:t>
      </w:r>
    </w:p>
    <w:p>
      <w:pPr>
        <w:spacing w:after="120" w:line="276"/>
      </w:pPr>
      <w:r>
        <w:rPr>
          <w:rFonts w:ascii="Calibri" w:cs="Calibri" w:eastAsia="Calibri" w:hAnsi="Calibri"/>
          <w:b w:val="false"/>
          <w:bCs w:val="false"/>
          <w:sz w:val="22"/>
          <w:szCs w:val="22"/>
        </w:rPr>
        <w:t xml:space="preserve">Rechtsanwältin</w:t>
      </w:r>
    </w:p>
    <w:p>
      <w:pPr>
        <w:spacing w:after="120" w:line="276"/>
      </w:pPr>
      <w:r>
        <w:rPr>
          <w:rFonts w:ascii="Calibri" w:cs="Calibri" w:eastAsia="Calibri" w:hAnsi="Calibri"/>
          <w:b w:val="false"/>
          <w:bCs w:val="false"/>
          <w:sz w:val="22"/>
          <w:szCs w:val="22"/>
        </w:rPr>
        <w:t xml:space="preserve">Kanzlei Drosselberg, Wegener, Sandtenbruch &amp; Partner</w:t>
      </w:r>
    </w:p>
    <w:p>
      <w:pPr>
        <w:spacing w:after="120" w:line="276"/>
      </w:pPr>
      <w:r>
        <w:rPr>
          <w:rFonts w:ascii="Calibri" w:cs="Calibri" w:eastAsia="Calibri" w:hAnsi="Calibri"/>
          <w:b w:val="false"/>
          <w:bCs w:val="false"/>
          <w:sz w:val="22"/>
          <w:szCs w:val="22"/>
        </w:rPr>
        <w:t xml:space="preserve">Bielefeld, 15. April 2026</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Beschwerdeschrift OLG Hamm 27 Wx 22/26</dc:title>
  <dc:creator>Kanzlei Drosselberg, Wegener, Sandtenbruch &amp; Partner</dc:creator>
  <dc:description>Erwiderung auf Registerbeschwerde der Wittmann Family Holding KG</dc:description>
  <cp:lastModifiedBy>Un-named</cp:lastModifiedBy>
  <cp:revision>1</cp:revision>
  <dcterms:created xsi:type="dcterms:W3CDTF">2026-05-30T16:44:50.187Z</dcterms:created>
  <dcterms:modified xsi:type="dcterms:W3CDTF">2026-05-30T16:44:50.187Z</dcterms:modified>
</cp:coreProperties>
</file>

<file path=docProps/custom.xml><?xml version="1.0" encoding="utf-8"?>
<Properties xmlns="http://schemas.openxmlformats.org/officeDocument/2006/custom-properties" xmlns:vt="http://schemas.openxmlformats.org/officeDocument/2006/docPropsVTypes"/>
</file>