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right"/>
      </w:pPr>
      <w:r>
        <w:rPr>
          <w:rFonts w:ascii="Calibri" w:cs="Calibri" w:eastAsia="Calibri" w:hAnsi="Calibri"/>
          <w:b/>
          <w:bCs/>
          <w:sz w:val="24"/>
          <w:szCs w:val="24"/>
        </w:rPr>
        <w:t xml:space="preserve">Kanzlei Drosselberg, Wegener, Sandtenbruch &amp; Partner Rechtsanwälte</w:t>
      </w:r>
    </w:p>
    <w:p>
      <w:pPr>
        <w:jc w:val="right"/>
      </w:pPr>
      <w:r>
        <w:rPr>
          <w:rFonts w:ascii="Calibri" w:cs="Calibri" w:eastAsia="Calibri" w:hAnsi="Calibri"/>
          <w:sz w:val="20"/>
          <w:szCs w:val="20"/>
        </w:rPr>
        <w:t xml:space="preserve">Kaiser-Wilhelm-Str. 44 · 33602 Bielefeld</w:t>
      </w:r>
    </w:p>
    <w:p>
      <w:pPr>
        <w:spacing w:after="120"/>
      </w:pPr>
    </w:p>
    <w:p>
      <w:pPr>
        <w:jc w:val="right"/>
      </w:pPr>
      <w:r>
        <w:rPr>
          <w:rFonts w:ascii="Calibri" w:cs="Calibri" w:eastAsia="Calibri" w:hAnsi="Calibri"/>
          <w:sz w:val="22"/>
          <w:szCs w:val="22"/>
        </w:rPr>
        <w:t xml:space="preserve">Bielefeld, den 15. November 2026 (Entwurf)</w:t>
      </w:r>
    </w:p>
    <w:p>
      <w:pPr>
        <w:spacing w:after="120"/>
      </w:pPr>
    </w:p>
    <w:p>
      <w:r>
        <w:rPr>
          <w:rFonts w:ascii="Calibri" w:cs="Calibri" w:eastAsia="Calibri" w:hAnsi="Calibri"/>
          <w:b/>
          <w:bCs/>
          <w:sz w:val="22"/>
          <w:szCs w:val="22"/>
        </w:rPr>
        <w:t xml:space="preserve">Landgericht Paderborn</w:t>
      </w:r>
    </w:p>
    <w:p>
      <w:pPr>
        <w:spacing w:after="120" w:line="276"/>
      </w:pPr>
      <w:r>
        <w:rPr>
          <w:rFonts w:ascii="Calibri" w:cs="Calibri" w:eastAsia="Calibri" w:hAnsi="Calibri"/>
          <w:b w:val="false"/>
          <w:bCs w:val="false"/>
          <w:sz w:val="22"/>
          <w:szCs w:val="22"/>
        </w:rPr>
        <w:t xml:space="preserve">Bogen 2–8, 33098 Paderborn</w:t>
      </w:r>
    </w:p>
    <w:p>
      <w:pPr>
        <w:spacing w:after="120"/>
      </w:pPr>
    </w:p>
    <w:p>
      <w:pPr>
        <w:spacing w:after="200" w:before="400"/>
        <w:jc w:val="center"/>
      </w:pPr>
      <w:r>
        <w:rPr>
          <w:rFonts w:ascii="Calibri" w:cs="Calibri" w:eastAsia="Calibri" w:hAnsi="Calibri"/>
          <w:b/>
          <w:bCs/>
          <w:sz w:val="32"/>
          <w:szCs w:val="32"/>
        </w:rPr>
        <w:t xml:space="preserve">KLAGESCHRIFT</w:t>
      </w:r>
    </w:p>
    <w:p>
      <w:pPr>
        <w:spacing w:after="400"/>
        <w:jc w:val="center"/>
      </w:pPr>
      <w:r>
        <w:rPr>
          <w:rFonts w:ascii="Calibri" w:cs="Calibri" w:eastAsia="Calibri" w:hAnsi="Calibri"/>
          <w:i/>
          <w:iCs/>
          <w:sz w:val="24"/>
          <w:szCs w:val="24"/>
        </w:rPr>
        <w:t xml:space="preserve">— Geschäftsführerhaftung gemäß § 43 Abs. 2 GmbHG —</w:t>
      </w:r>
    </w:p>
    <w:p>
      <w:pPr>
        <w:spacing w:after="120" w:line="276"/>
      </w:pPr>
      <w:r>
        <w:rPr>
          <w:rFonts w:ascii="Calibri" w:cs="Calibri" w:eastAsia="Calibri" w:hAnsi="Calibri"/>
          <w:b w:val="false"/>
          <w:bCs w:val="false"/>
          <w:sz w:val="22"/>
          <w:szCs w:val="22"/>
        </w:rPr>
        <w:t xml:space="preserve">Klägerin: Küchenkönig Manufaktur GmbH &amp; Co. KG,</w:t>
      </w:r>
    </w:p>
    <w:p>
      <w:pPr>
        <w:spacing w:after="120" w:line="276"/>
      </w:pPr>
      <w:r>
        <w:rPr>
          <w:rFonts w:ascii="Calibri" w:cs="Calibri" w:eastAsia="Calibri" w:hAnsi="Calibri"/>
          <w:b w:val="false"/>
          <w:bCs w:val="false"/>
          <w:sz w:val="22"/>
          <w:szCs w:val="22"/>
        </w:rPr>
        <w:t xml:space="preserve">vertreten durch den Sondervertreter RA Thomas Hegelmaier,</w:t>
      </w:r>
    </w:p>
    <w:p>
      <w:pPr>
        <w:spacing w:after="120" w:line="276"/>
      </w:pPr>
      <w:r>
        <w:rPr>
          <w:rFonts w:ascii="Calibri" w:cs="Calibri" w:eastAsia="Calibri" w:hAnsi="Calibri"/>
          <w:b w:val="false"/>
          <w:bCs w:val="false"/>
          <w:sz w:val="22"/>
          <w:szCs w:val="22"/>
        </w:rPr>
        <w:t xml:space="preserve">Georgsplatz 4, 30159 Hannover</w:t>
      </w:r>
    </w:p>
    <w:p>
      <w:pPr>
        <w:spacing w:after="120"/>
      </w:pPr>
    </w:p>
    <w:p>
      <w:pPr>
        <w:spacing w:after="120" w:line="276"/>
      </w:pPr>
      <w:r>
        <w:rPr>
          <w:rFonts w:ascii="Calibri" w:cs="Calibri" w:eastAsia="Calibri" w:hAnsi="Calibri"/>
          <w:b w:val="false"/>
          <w:bCs w:val="false"/>
          <w:sz w:val="22"/>
          <w:szCs w:val="22"/>
        </w:rPr>
        <w:t xml:space="preserve">Beklagter: Heinrich-Eberhard Geisen,</w:t>
      </w:r>
    </w:p>
    <w:p>
      <w:pPr>
        <w:spacing w:after="120" w:line="276"/>
      </w:pPr>
      <w:r>
        <w:rPr>
          <w:rFonts w:ascii="Calibri" w:cs="Calibri" w:eastAsia="Calibri" w:hAnsi="Calibri"/>
          <w:b w:val="false"/>
          <w:bCs w:val="false"/>
          <w:sz w:val="22"/>
          <w:szCs w:val="22"/>
        </w:rPr>
        <w:t xml:space="preserve">Sennelager Str. 88, 33104 Paderborn</w:t>
      </w:r>
    </w:p>
    <w:p>
      <w:pPr>
        <w:spacing w:after="120"/>
      </w:pPr>
    </w:p>
    <w:p>
      <w:pPr>
        <w:pStyle w:val="Heading1"/>
        <w:spacing w:after="200" w:before="400"/>
      </w:pPr>
      <w:r>
        <w:t xml:space="preserve">I. Klageanträge</w:t>
      </w:r>
    </w:p>
    <w:p>
      <w:pPr>
        <w:pBdr>
          <w:left w:val="single" w:color="20808D" w:sz="6"/>
        </w:pBdr>
        <w:spacing w:after="120" w:line="276"/>
        <w:ind w:left="720" w:right="720"/>
      </w:pPr>
      <w:r>
        <w:rPr>
          <w:rFonts w:ascii="Calibri" w:cs="Calibri" w:eastAsia="Calibri" w:hAnsi="Calibri"/>
          <w:i/>
          <w:iCs/>
          <w:sz w:val="20"/>
          <w:szCs w:val="20"/>
        </w:rPr>
        <w:t xml:space="preserve">1. Der Beklagte wird verurteilt, an die Klägerin 430.000 EUR nebst Zinsen in Höhe von 5 Prozentpunkten über dem Basiszinssatz seit dem 01.01.2025 zu zahlen.</w:t>
      </w:r>
    </w:p>
    <w:p>
      <w:pPr>
        <w:spacing w:after="120"/>
      </w:pPr>
    </w:p>
    <w:p>
      <w:pPr>
        <w:pBdr>
          <w:left w:val="single" w:color="20808D" w:sz="6"/>
        </w:pBdr>
        <w:spacing w:after="120" w:line="276"/>
        <w:ind w:left="720" w:right="720"/>
      </w:pPr>
      <w:r>
        <w:rPr>
          <w:rFonts w:ascii="Calibri" w:cs="Calibri" w:eastAsia="Calibri" w:hAnsi="Calibri"/>
          <w:i/>
          <w:iCs/>
          <w:sz w:val="20"/>
          <w:szCs w:val="20"/>
        </w:rPr>
        <w:t xml:space="preserve">2. Der Beklagte wird verurteilt, an die Klägerin weiteren Schadensersatz in Höhe von 80.000 EUR (entgangene Gewinne / Opportunitätskosten) nebst Zinsen in Höhe von 5 Prozentpunkten über dem Basiszinssatz seit Rechtshängigkeit zu zahlen.</w:t>
      </w:r>
    </w:p>
    <w:p>
      <w:pPr>
        <w:spacing w:after="120"/>
      </w:pPr>
    </w:p>
    <w:p>
      <w:pPr>
        <w:pBdr>
          <w:left w:val="single" w:color="20808D" w:sz="6"/>
        </w:pBdr>
        <w:spacing w:after="120" w:line="276"/>
        <w:ind w:left="720" w:right="720"/>
      </w:pPr>
      <w:r>
        <w:rPr>
          <w:rFonts w:ascii="Calibri" w:cs="Calibri" w:eastAsia="Calibri" w:hAnsi="Calibri"/>
          <w:i/>
          <w:iCs/>
          <w:sz w:val="20"/>
          <w:szCs w:val="20"/>
        </w:rPr>
        <w:t xml:space="preserve">3. Die Kosten des Rechtsstreits trägt der Beklagte.</w:t>
      </w:r>
    </w:p>
    <w:p>
      <w:pPr>
        <w:spacing w:after="120"/>
      </w:pPr>
    </w:p>
    <w:p>
      <w:pPr>
        <w:pStyle w:val="Heading1"/>
        <w:spacing w:after="200" w:before="400"/>
      </w:pPr>
      <w:r>
        <w:t xml:space="preserve">II. Sachverhalt</w:t>
      </w:r>
    </w:p>
    <w:p>
      <w:pPr>
        <w:spacing w:after="120" w:line="276"/>
      </w:pPr>
      <w:r>
        <w:rPr>
          <w:rFonts w:ascii="Calibri" w:cs="Calibri" w:eastAsia="Calibri" w:hAnsi="Calibri"/>
          <w:b w:val="false"/>
          <w:bCs w:val="false"/>
          <w:sz w:val="22"/>
          <w:szCs w:val="22"/>
        </w:rPr>
        <w:t xml:space="preserve">Der Beklagte ist seit 1997 Geschäftsführer der Küchenkönig Verwaltungs-GmbH (HRB 9241 AG Paderborn) und führt in dieser Eigenschaft die Geschäfte der Klägerin. Als alleiniger Gesellschafter der Komplementär-GmbH ist er auch mittelbar an der Klägerin beteiligt (Stimmgewicht 26 %).</w:t>
      </w:r>
    </w:p>
    <w:p>
      <w:pPr>
        <w:spacing w:after="120"/>
      </w:pPr>
    </w:p>
    <w:p>
      <w:pPr>
        <w:spacing w:after="120" w:line="276"/>
      </w:pPr>
      <w:r>
        <w:rPr>
          <w:rFonts w:ascii="Calibri" w:cs="Calibri" w:eastAsia="Calibri" w:hAnsi="Calibri"/>
          <w:b w:val="false"/>
          <w:bCs w:val="false"/>
          <w:sz w:val="22"/>
          <w:szCs w:val="22"/>
        </w:rPr>
        <w:t xml:space="preserve">Am 12. März 2024 gründete der Beklagte ohne vorherigen Gesellschafterbeschluss die Küchenkönig Polska Sp. z o.o. (Handelsregister Warschau, Nr. KRS 0001082471) und tätigte im Laufe des Jahres 2024 Investitionen in Höhe von insgesamt 480.000 EUR aus dem Betriebsvermögen der Klägerin. Der Gesamtverlust nach Abzug der erzielten Erlöse (38.000 EUR Umsatz + 12.000 EUR Liquidationserlöse) beträgt 430.000 EUR. Hinzu kommen Opportunitätskosten von 80.000 EUR wegen Verzögerung der Stammhausexpansion.</w:t>
      </w:r>
    </w:p>
    <w:p>
      <w:pPr>
        <w:spacing w:after="120"/>
      </w:pPr>
    </w:p>
    <w:p>
      <w:pPr>
        <w:spacing w:after="120" w:line="276"/>
      </w:pPr>
      <w:r>
        <w:rPr>
          <w:rFonts w:ascii="Calibri" w:cs="Calibri" w:eastAsia="Calibri" w:hAnsi="Calibri"/>
          <w:b w:val="false"/>
          <w:bCs w:val="false"/>
          <w:sz w:val="22"/>
          <w:szCs w:val="22"/>
        </w:rPr>
        <w:t xml:space="preserve">§ 8 Abs. 3 des Gesellschaftsvertrages (Anlage K 1) schreibt ausdrücklich vor, dass Beteiligungen ab 50.000 EUR und alle Investitionen außerhalb des Bundesgebietes eines vorherigen Gesellschafterbeschlusses bedürfen. Einen solchen Beschluss hat der Beklagte weder eingeholt noch beantragt. Er hat die Polska-Gründung den Mitgesellschaftern erst im Juni 2024 — nach einer zufälligen Entdeckung durch Kläger zu 2) (Stefan Geisen) — mitgeteilt.</w:t>
      </w:r>
    </w:p>
    <w:p>
      <w:pPr>
        <w:spacing w:after="120"/>
      </w:pPr>
    </w:p>
    <w:p>
      <w:pPr>
        <w:pStyle w:val="Heading1"/>
        <w:spacing w:after="200" w:before="400"/>
      </w:pPr>
      <w:r>
        <w:t xml:space="preserve">III. Rechtliche Grundlagen</w:t>
      </w:r>
    </w:p>
    <w:p>
      <w:pPr>
        <w:pStyle w:val="Heading2"/>
        <w:spacing w:after="150" w:before="300"/>
      </w:pPr>
      <w:r>
        <w:t xml:space="preserve">1. Pflichtverletzung § 43 Abs. 1 GmbHG</w:t>
      </w:r>
    </w:p>
    <w:p>
      <w:pPr>
        <w:spacing w:after="120" w:line="276"/>
      </w:pPr>
      <w:r>
        <w:rPr>
          <w:rFonts w:ascii="Calibri" w:cs="Calibri" w:eastAsia="Calibri" w:hAnsi="Calibri"/>
          <w:b w:val="false"/>
          <w:bCs w:val="false"/>
          <w:sz w:val="22"/>
          <w:szCs w:val="22"/>
        </w:rPr>
        <w:t xml:space="preserve">§ 43 Abs. 1 GmbHG verpflichtet den Geschäftsführer zur Sorgfalt eines ordentlichen Geschäftsmannes. Die eigenmächtige Gründung einer Auslandstochter unter Umgehung des gesellschaftsvertraglichen Zustimmungsvorbehalts ist eine klare Pflichtverletzung. Die Business Judgment Rule (§ 93 Abs. 1 Satz 2 AktG analog) findet keine Anwendung, da die Entscheidung nicht auf Basis angemessener Information getroffen wurde und explizit gegen den Zustimmungsvorbehalt des Gesellschaftsvertrages verstieß (BGH, Urt. v. 04.11.2002, II ZR 224/00).</w:t>
      </w:r>
    </w:p>
    <w:p>
      <w:pPr>
        <w:pStyle w:val="Heading2"/>
        <w:spacing w:after="150" w:before="300"/>
      </w:pPr>
      <w:r>
        <w:t xml:space="preserve">2. Schaden und Kausalität</w:t>
      </w:r>
    </w:p>
    <w:p>
      <w:pPr>
        <w:spacing w:after="120" w:line="276"/>
      </w:pPr>
      <w:r>
        <w:rPr>
          <w:rFonts w:ascii="Calibri" w:cs="Calibri" w:eastAsia="Calibri" w:hAnsi="Calibri"/>
          <w:b w:val="false"/>
          <w:bCs w:val="false"/>
          <w:sz w:val="22"/>
          <w:szCs w:val="22"/>
        </w:rPr>
        <w:t xml:space="preserve">Der Schaden der Klägerin beträgt 510.000 EUR (Nettoanlaufverlust 430.000 EUR + Opportunitätskosten 80.000 EUR). Der Kausalzusammenhang zwischen der Pflichtverletzung und dem Schaden ist evident: Hätte der Beklagte ordnungsgemäß um Gesellschafterbeschluss ersucht, hätten die anderen Gesellschafter die Polska-Investition abgelehnt (tatsächlich verweigerten sie die nachträgliche Genehmigung in der GV vom 22.09.2024, Protokoll Anlage K 2).</w:t>
      </w:r>
    </w:p>
    <w:p>
      <w:pPr>
        <w:pStyle w:val="Heading2"/>
        <w:spacing w:after="150" w:before="300"/>
      </w:pPr>
      <w:r>
        <w:t xml:space="preserve">3. Verjährung</w:t>
      </w:r>
    </w:p>
    <w:p>
      <w:pPr>
        <w:spacing w:after="120" w:line="276"/>
      </w:pPr>
      <w:r>
        <w:rPr>
          <w:rFonts w:ascii="Calibri" w:cs="Calibri" w:eastAsia="Calibri" w:hAnsi="Calibri"/>
          <w:b w:val="false"/>
          <w:bCs w:val="false"/>
          <w:sz w:val="22"/>
          <w:szCs w:val="22"/>
        </w:rPr>
        <w:t xml:space="preserve">Der Haftungsanspruch entstand am 12.03.2024 (Tag der Polska-Gründung) und verjährt gemäß § 43 Abs. 4 GmbHG in 5 Jahren, also erst am 12.03.2029. Die Klage ist rechtzeitig.</w:t>
      </w:r>
    </w:p>
    <w:p>
      <w:pPr>
        <w:spacing w:after="120"/>
      </w:pPr>
    </w:p>
    <w:p>
      <w:pPr>
        <w:pStyle w:val="Heading1"/>
        <w:spacing w:after="200" w:before="400"/>
      </w:pPr>
      <w:r>
        <w:t xml:space="preserve">IV. Beweisangebote</w:t>
      </w:r>
    </w:p>
    <w:tbl>
      <w:tblPr>
        <w:tblW w:type="pct" w:w="100%"/>
        <w:tblBorders>
          <w:top w:val="single" w:color="auto" w:sz="4"/>
          <w:left w:val="single" w:color="auto" w:sz="4"/>
          <w:bottom w:val="single" w:color="auto" w:sz="4"/>
          <w:right w:val="single" w:color="auto" w:sz="4"/>
          <w:insideH w:val="single" w:color="auto" w:sz="4"/>
          <w:insideV w:val="single" w:color="auto" w:sz="4"/>
        </w:tblBorders>
        <w:tblCellMar>
          <w:top w:type="dxa" w:w="0"/>
          <w:bottom w:type="dxa" w:w="240"/>
        </w:tblCellMar>
      </w:tblPr>
      <w:tblGrid>
        <w:gridCol w:w="100"/>
        <w:gridCol w:w="100"/>
        <w:gridCol w:w="100"/>
      </w:tblGrid>
      <w:tr>
        <w:trPr>
          <w:tblHeader/>
        </w:trPr>
        <w:tc>
          <w:tcPr>
            <w:shd w:fill="1B474D"/>
            <w:tcMar>
              <w:top w:type="dxa" w:w="80"/>
              <w:left w:type="dxa" w:w="100"/>
              <w:bottom w:type="dxa" w:w="80"/>
              <w:right w:type="dxa" w:w="100"/>
            </w:tcMar>
          </w:tcPr>
          <w:p>
            <w:pPr>
              <w:spacing w:after="60"/>
            </w:pPr>
            <w:r>
              <w:rPr>
                <w:rFonts w:ascii="Calibri" w:cs="Calibri" w:eastAsia="Calibri" w:hAnsi="Calibri"/>
                <w:b/>
                <w:bCs/>
                <w:color w:val="FFFFFF"/>
                <w:sz w:val="20"/>
                <w:szCs w:val="20"/>
              </w:rPr>
              <w:t xml:space="preserve">Nr.</w:t>
            </w:r>
          </w:p>
        </w:tc>
        <w:tc>
          <w:tcPr>
            <w:shd w:fill="1B474D"/>
            <w:tcMar>
              <w:top w:type="dxa" w:w="80"/>
              <w:left w:type="dxa" w:w="100"/>
              <w:bottom w:type="dxa" w:w="80"/>
              <w:right w:type="dxa" w:w="100"/>
            </w:tcMar>
          </w:tcPr>
          <w:p>
            <w:pPr>
              <w:spacing w:after="60"/>
            </w:pPr>
            <w:r>
              <w:rPr>
                <w:rFonts w:ascii="Calibri" w:cs="Calibri" w:eastAsia="Calibri" w:hAnsi="Calibri"/>
                <w:b/>
                <w:bCs/>
                <w:color w:val="FFFFFF"/>
                <w:sz w:val="20"/>
                <w:szCs w:val="20"/>
              </w:rPr>
              <w:t xml:space="preserve">Beweisthema</w:t>
            </w:r>
          </w:p>
        </w:tc>
        <w:tc>
          <w:tcPr>
            <w:shd w:fill="1B474D"/>
            <w:tcMar>
              <w:top w:type="dxa" w:w="80"/>
              <w:left w:type="dxa" w:w="100"/>
              <w:bottom w:type="dxa" w:w="80"/>
              <w:right w:type="dxa" w:w="100"/>
            </w:tcMar>
          </w:tcPr>
          <w:p>
            <w:pPr>
              <w:spacing w:after="60"/>
            </w:pPr>
            <w:r>
              <w:rPr>
                <w:rFonts w:ascii="Calibri" w:cs="Calibri" w:eastAsia="Calibri" w:hAnsi="Calibri"/>
                <w:b/>
                <w:bCs/>
                <w:color w:val="FFFFFF"/>
                <w:sz w:val="20"/>
                <w:szCs w:val="20"/>
              </w:rPr>
              <w:t xml:space="preserve">Beweismittel</w:t>
            </w:r>
          </w:p>
        </w:tc>
      </w:tr>
      <w:tr>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K 1</w:t>
            </w:r>
          </w:p>
        </w:tc>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Gesellschaftsvertrag § 8 Abs. 3</w:t>
            </w:r>
          </w:p>
        </w:tc>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GV-Urkunde</w:t>
            </w:r>
          </w:p>
        </w:tc>
      </w:tr>
      <w:tr>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K 2</w:t>
            </w:r>
          </w:p>
        </w:tc>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Ablehnung nachträgliche Genehmigung</w:t>
            </w:r>
          </w:p>
        </w:tc>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Protokoll GV 22.09.2024</w:t>
            </w:r>
          </w:p>
        </w:tc>
      </w:tr>
      <w:tr>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K 3</w:t>
            </w:r>
          </w:p>
        </w:tc>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Investitionsbeleg Polska</w:t>
            </w:r>
          </w:p>
        </w:tc>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Kontoauszüge 2024, Sparkasse Paderborn</w:t>
            </w:r>
          </w:p>
        </w:tc>
      </w:tr>
      <w:tr>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K 4</w:t>
            </w:r>
          </w:p>
        </w:tc>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Polska-Jahresabschluss 2024</w:t>
            </w:r>
          </w:p>
        </w:tc>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Jahresabschluss Polska</w:t>
            </w:r>
          </w:p>
        </w:tc>
      </w:tr>
      <w:tr>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K 5</w:t>
            </w:r>
          </w:p>
        </w:tc>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Marktlage Polen 2024</w:t>
            </w:r>
          </w:p>
        </w:tc>
        <w:tc>
          <w:tcPr>
            <w:shd w:fill="F9F8F5"/>
            <w:tcMar>
              <w:top w:type="dxa" w:w="80"/>
              <w:left w:type="dxa" w:w="100"/>
              <w:bottom w:type="dxa" w:w="80"/>
              <w:right w:type="dxa" w:w="100"/>
            </w:tcMar>
          </w:tcPr>
          <w:p>
            <w:pPr>
              <w:spacing w:after="60"/>
            </w:pPr>
            <w:r>
              <w:rPr>
                <w:rFonts w:ascii="Calibri" w:cs="Calibri" w:eastAsia="Calibri" w:hAnsi="Calibri"/>
                <w:sz w:val="20"/>
                <w:szCs w:val="20"/>
              </w:rPr>
              <w:t xml:space="preserve">MÖMA-Branchenbericht 2024</w:t>
            </w:r>
          </w:p>
        </w:tc>
      </w:tr>
      <w:tr>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K 6</w:t>
            </w:r>
          </w:p>
        </w:tc>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Schaden: Jahresabschluss KG 2025</w:t>
            </w:r>
          </w:p>
        </w:tc>
        <w:tc>
          <w:tcPr>
            <w:shd w:fill="FFFFFF"/>
            <w:tcMar>
              <w:top w:type="dxa" w:w="80"/>
              <w:left w:type="dxa" w:w="100"/>
              <w:bottom w:type="dxa" w:w="80"/>
              <w:right w:type="dxa" w:w="100"/>
            </w:tcMar>
          </w:tcPr>
          <w:p>
            <w:pPr>
              <w:spacing w:after="60"/>
            </w:pPr>
            <w:r>
              <w:rPr>
                <w:rFonts w:ascii="Calibri" w:cs="Calibri" w:eastAsia="Calibri" w:hAnsi="Calibri"/>
                <w:sz w:val="20"/>
                <w:szCs w:val="20"/>
              </w:rPr>
              <w:t xml:space="preserve">Abschreibungsposition Polska</w:t>
            </w:r>
          </w:p>
        </w:tc>
      </w:tr>
    </w:tbl>
    <w:p>
      <w:pPr>
        <w:spacing w:after="120"/>
      </w:pPr>
    </w:p>
    <w:p>
      <w:pPr>
        <w:spacing w:after="120" w:line="276"/>
      </w:pPr>
      <w:r>
        <w:rPr>
          <w:rFonts w:ascii="Calibri" w:cs="Calibri" w:eastAsia="Calibri" w:hAnsi="Calibri"/>
          <w:b/>
          <w:bCs/>
          <w:sz w:val="22"/>
          <w:szCs w:val="22"/>
        </w:rPr>
        <w:t xml:space="preserve">Rechtsanwalt Thomas Hegelmaier</w:t>
      </w:r>
    </w:p>
    <w:p>
      <w:pPr>
        <w:spacing w:after="120" w:line="276"/>
      </w:pPr>
      <w:r>
        <w:rPr>
          <w:rFonts w:ascii="Calibri" w:cs="Calibri" w:eastAsia="Calibri" w:hAnsi="Calibri"/>
          <w:b w:val="false"/>
          <w:bCs w:val="false"/>
          <w:sz w:val="22"/>
          <w:szCs w:val="22"/>
        </w:rPr>
        <w:t xml:space="preserve">Sondervertreter der Küchenkönig Manufaktur GmbH &amp; Co. KG</w:t>
      </w:r>
    </w:p>
    <w:p>
      <w:pPr>
        <w:spacing w:after="120" w:line="276"/>
      </w:pPr>
      <w:r>
        <w:rPr>
          <w:rFonts w:ascii="Calibri" w:cs="Calibri" w:eastAsia="Calibri" w:hAnsi="Calibri"/>
          <w:b w:val="false"/>
          <w:bCs w:val="false"/>
          <w:sz w:val="22"/>
          <w:szCs w:val="22"/>
        </w:rPr>
        <w:t xml:space="preserve">(bestellt durch Gesellschafterbeschluss vom 22.09.2026)</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Haftungsklage gegen GF nach § 43 GmbHG — Polska-Investition</dc:title>
  <dc:creator>Kanzlei Drosselberg, Wegener, Sandtenbruch &amp; Partner</dc:creator>
  <dc:description>Klageschrift LG Paderborn wegen Polska-Investition ohne Gesellschafterbeschluss</dc:description>
  <cp:lastModifiedBy>Un-named</cp:lastModifiedBy>
  <cp:revision>1</cp:revision>
  <dcterms:created xsi:type="dcterms:W3CDTF">2026-05-30T16:44:50.162Z</dcterms:created>
  <dcterms:modified xsi:type="dcterms:W3CDTF">2026-05-30T16:44:50.162Z</dcterms:modified>
</cp:coreProperties>
</file>

<file path=docProps/custom.xml><?xml version="1.0" encoding="utf-8"?>
<Properties xmlns="http://schemas.openxmlformats.org/officeDocument/2006/custom-properties" xmlns:vt="http://schemas.openxmlformats.org/officeDocument/2006/docPropsVTypes"/>
</file>