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00 Deal Personen und Zeitleiste</w:t>
      </w:r>
    </w:p>
    <w:p/>
    <w:p>
      <w:pPr>
        <w:pStyle w:val="Heading2"/>
      </w:pPr>
      <w:r>
        <w:t>Codename und Eckdaten</w:t>
      </w:r>
    </w:p>
    <w:p/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4831"/>
        <w:gridCol w:w="4831"/>
      </w:tblGrid>
      <w:tr>
        <w:tc>
          <w:tcPr>
            <w:tcW w:type="dxa" w:w="4831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  <w:shd w:fill="E8EEF7"/>
          </w:tcPr>
          <w:p>
            <w:r>
              <w:rPr>
                <w:rFonts w:ascii="Times New Roman" w:hAnsi="Times New Roman"/>
                <w:b/>
                <w:sz w:val="17"/>
              </w:rPr>
              <w:t>Punkt</w:t>
            </w:r>
          </w:p>
        </w:tc>
        <w:tc>
          <w:tcPr>
            <w:tcW w:type="dxa" w:w="4831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  <w:shd w:fill="E8EEF7"/>
          </w:tcPr>
          <w:p>
            <w:r>
              <w:rPr>
                <w:rFonts w:ascii="Times New Roman" w:hAnsi="Times New Roman"/>
                <w:b/>
                <w:sz w:val="17"/>
              </w:rPr>
              <w:t>Wert</w:t>
            </w:r>
          </w:p>
        </w:tc>
      </w:tr>
      <w:tr>
        <w:tc>
          <w:tcPr>
            <w:tcW w:type="dxa" w:w="4831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r>
              <w:rPr>
                <w:rFonts w:ascii="Times New Roman" w:hAnsi="Times New Roman"/>
                <w:sz w:val="17"/>
              </w:rPr>
              <w:t>Projektcodename</w:t>
            </w:r>
          </w:p>
        </w:tc>
        <w:tc>
          <w:tcPr>
            <w:tcW w:type="dxa" w:w="4831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r>
              <w:rPr>
                <w:rFonts w:ascii="Times New Roman" w:hAnsi="Times New Roman"/>
                <w:sz w:val="17"/>
              </w:rPr>
              <w:t>Project Comet Moth</w:t>
            </w:r>
          </w:p>
        </w:tc>
      </w:tr>
      <w:tr>
        <w:tc>
          <w:tcPr>
            <w:tcW w:type="dxa" w:w="4831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r>
              <w:rPr>
                <w:rFonts w:ascii="Times New Roman" w:hAnsi="Times New Roman"/>
                <w:sz w:val="17"/>
              </w:rPr>
              <w:t>Mandantin</w:t>
            </w:r>
          </w:p>
        </w:tc>
        <w:tc>
          <w:tcPr>
            <w:tcW w:type="dxa" w:w="4831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r>
              <w:rPr>
                <w:rFonts w:ascii="Times New Roman" w:hAnsi="Times New Roman"/>
                <w:sz w:val="17"/>
              </w:rPr>
              <w:t>Kometenfalter Systems GmbH</w:t>
            </w:r>
          </w:p>
        </w:tc>
      </w:tr>
      <w:tr>
        <w:tc>
          <w:tcPr>
            <w:tcW w:type="dxa" w:w="4831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r>
              <w:rPr>
                <w:rFonts w:ascii="Times New Roman" w:hAnsi="Times New Roman"/>
                <w:sz w:val="17"/>
              </w:rPr>
              <w:t>Sitz und Register</w:t>
            </w:r>
          </w:p>
        </w:tc>
        <w:tc>
          <w:tcPr>
            <w:tcW w:type="dxa" w:w="4831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r>
              <w:rPr>
                <w:rFonts w:ascii="Times New Roman" w:hAnsi="Times New Roman"/>
                <w:sz w:val="17"/>
              </w:rPr>
              <w:t>Frankfurt am Main, HRB 137422</w:t>
            </w:r>
          </w:p>
        </w:tc>
      </w:tr>
      <w:tr>
        <w:tc>
          <w:tcPr>
            <w:tcW w:type="dxa" w:w="4831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r>
              <w:rPr>
                <w:rFonts w:ascii="Times New Roman" w:hAnsi="Times New Roman"/>
                <w:sz w:val="17"/>
              </w:rPr>
              <w:t>Gegenstand</w:t>
            </w:r>
          </w:p>
        </w:tc>
        <w:tc>
          <w:tcPr>
            <w:tcW w:type="dxa" w:w="4831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r>
              <w:rPr>
                <w:rFonts w:ascii="Times New Roman" w:hAnsi="Times New Roman"/>
                <w:sz w:val="17"/>
              </w:rPr>
              <w:t>Software zur automatisierten Energieoptimierung in Gewerbeimmobilien</w:t>
            </w:r>
          </w:p>
        </w:tc>
      </w:tr>
      <w:tr>
        <w:tc>
          <w:tcPr>
            <w:tcW w:type="dxa" w:w="4831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r>
              <w:rPr>
                <w:rFonts w:ascii="Times New Roman" w:hAnsi="Times New Roman"/>
                <w:sz w:val="17"/>
              </w:rPr>
              <w:t>Gründungsdatum</w:t>
            </w:r>
          </w:p>
        </w:tc>
        <w:tc>
          <w:tcPr>
            <w:tcW w:type="dxa" w:w="4831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r>
              <w:rPr>
                <w:rFonts w:ascii="Times New Roman" w:hAnsi="Times New Roman"/>
                <w:sz w:val="17"/>
              </w:rPr>
              <w:t>14.02.2022</w:t>
            </w:r>
          </w:p>
        </w:tc>
      </w:tr>
      <w:tr>
        <w:tc>
          <w:tcPr>
            <w:tcW w:type="dxa" w:w="4831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r>
              <w:rPr>
                <w:rFonts w:ascii="Times New Roman" w:hAnsi="Times New Roman"/>
                <w:sz w:val="17"/>
              </w:rPr>
              <w:t>Geschäftsjahr</w:t>
            </w:r>
          </w:p>
        </w:tc>
        <w:tc>
          <w:tcPr>
            <w:tcW w:type="dxa" w:w="4831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r>
              <w:rPr>
                <w:rFonts w:ascii="Times New Roman" w:hAnsi="Times New Roman"/>
                <w:sz w:val="17"/>
              </w:rPr>
              <w:t>Kalenderjahr</w:t>
            </w:r>
          </w:p>
        </w:tc>
      </w:tr>
      <w:tr>
        <w:tc>
          <w:tcPr>
            <w:tcW w:type="dxa" w:w="4831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r>
              <w:rPr>
                <w:rFonts w:ascii="Times New Roman" w:hAnsi="Times New Roman"/>
                <w:sz w:val="17"/>
              </w:rPr>
              <w:t>Stammkapital</w:t>
            </w:r>
          </w:p>
        </w:tc>
        <w:tc>
          <w:tcPr>
            <w:tcW w:type="dxa" w:w="4831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r>
              <w:rPr>
                <w:rFonts w:ascii="Times New Roman" w:hAnsi="Times New Roman"/>
                <w:sz w:val="17"/>
              </w:rPr>
              <w:t>30.000 EUR, eingeteilt in 30.000 Geschäftsanteile zu je 1 EUR</w:t>
            </w:r>
          </w:p>
        </w:tc>
      </w:tr>
      <w:tr>
        <w:tc>
          <w:tcPr>
            <w:tcW w:type="dxa" w:w="4831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r>
              <w:rPr>
                <w:rFonts w:ascii="Times New Roman" w:hAnsi="Times New Roman"/>
                <w:sz w:val="17"/>
              </w:rPr>
              <w:t>Aktueller Notar</w:t>
            </w:r>
          </w:p>
        </w:tc>
        <w:tc>
          <w:tcPr>
            <w:tcW w:type="dxa" w:w="4831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r>
              <w:rPr>
                <w:rFonts w:ascii="Times New Roman" w:hAnsi="Times New Roman"/>
                <w:sz w:val="17"/>
              </w:rPr>
              <w:t>Notariat Schwartz, Dr. Edelgard Schwartz, Frankfurt am Main</w:t>
            </w:r>
          </w:p>
        </w:tc>
      </w:tr>
      <w:tr>
        <w:tc>
          <w:tcPr>
            <w:tcW w:type="dxa" w:w="4831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r>
              <w:rPr>
                <w:rFonts w:ascii="Times New Roman" w:hAnsi="Times New Roman"/>
                <w:sz w:val="17"/>
              </w:rPr>
              <w:t>Lead Investor Series A</w:t>
            </w:r>
          </w:p>
        </w:tc>
        <w:tc>
          <w:tcPr>
            <w:tcW w:type="dxa" w:w="4831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r>
              <w:rPr>
                <w:rFonts w:ascii="Times New Roman" w:hAnsi="Times New Roman"/>
                <w:sz w:val="17"/>
              </w:rPr>
              <w:t>Northbridge Growth III SCS (Luxemburg, regulierter SCSp-Fonds)</w:t>
            </w:r>
          </w:p>
        </w:tc>
      </w:tr>
      <w:tr>
        <w:tc>
          <w:tcPr>
            <w:tcW w:type="dxa" w:w="4831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r>
              <w:rPr>
                <w:rFonts w:ascii="Times New Roman" w:hAnsi="Times New Roman"/>
                <w:sz w:val="17"/>
              </w:rPr>
              <w:t>Co-Investor Series A</w:t>
            </w:r>
          </w:p>
        </w:tc>
        <w:tc>
          <w:tcPr>
            <w:tcW w:type="dxa" w:w="4831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r>
              <w:rPr>
                <w:rFonts w:ascii="Times New Roman" w:hAnsi="Times New Roman"/>
                <w:sz w:val="17"/>
              </w:rPr>
              <w:t>Angel-Pool Krämer (vier natürliche Personen, vertreten durch RA Krämer)</w:t>
            </w:r>
          </w:p>
        </w:tc>
      </w:tr>
      <w:tr>
        <w:tc>
          <w:tcPr>
            <w:tcW w:type="dxa" w:w="4831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r>
              <w:rPr>
                <w:rFonts w:ascii="Times New Roman" w:hAnsi="Times New Roman"/>
                <w:sz w:val="17"/>
              </w:rPr>
              <w:t>Bestehender Investor</w:t>
            </w:r>
          </w:p>
        </w:tc>
        <w:tc>
          <w:tcPr>
            <w:tcW w:type="dxa" w:w="4831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r>
              <w:rPr>
                <w:rFonts w:ascii="Times New Roman" w:hAnsi="Times New Roman"/>
                <w:sz w:val="17"/>
              </w:rPr>
              <w:t>Stahlauge Ventures GmbH (Seed)</w:t>
            </w:r>
          </w:p>
        </w:tc>
      </w:tr>
      <w:tr>
        <w:tc>
          <w:tcPr>
            <w:tcW w:type="dxa" w:w="4831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r>
              <w:rPr>
                <w:rFonts w:ascii="Times New Roman" w:hAnsi="Times New Roman"/>
                <w:sz w:val="17"/>
              </w:rPr>
              <w:t>Wandeldarlehensgeberin</w:t>
            </w:r>
          </w:p>
        </w:tc>
        <w:tc>
          <w:tcPr>
            <w:tcW w:type="dxa" w:w="4831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r>
              <w:rPr>
                <w:rFonts w:ascii="Times New Roman" w:hAnsi="Times New Roman"/>
                <w:sz w:val="17"/>
              </w:rPr>
              <w:t>Tante Ermelind Capital UG (haftungsbeschränkt)</w:t>
            </w:r>
          </w:p>
        </w:tc>
      </w:tr>
      <w:tr>
        <w:tc>
          <w:tcPr>
            <w:tcW w:type="dxa" w:w="4831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r>
              <w:rPr>
                <w:rFonts w:ascii="Times New Roman" w:hAnsi="Times New Roman"/>
                <w:sz w:val="17"/>
              </w:rPr>
              <w:t>Zielcloseing</w:t>
            </w:r>
          </w:p>
        </w:tc>
        <w:tc>
          <w:tcPr>
            <w:tcW w:type="dxa" w:w="4831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r>
              <w:rPr>
                <w:rFonts w:ascii="Times New Roman" w:hAnsi="Times New Roman"/>
                <w:sz w:val="17"/>
              </w:rPr>
              <w:t>15.07.2026</w:t>
            </w:r>
          </w:p>
        </w:tc>
      </w:tr>
      <w:tr>
        <w:tc>
          <w:tcPr>
            <w:tcW w:type="dxa" w:w="4831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r>
              <w:rPr>
                <w:rFonts w:ascii="Times New Roman" w:hAnsi="Times New Roman"/>
                <w:sz w:val="17"/>
              </w:rPr>
              <w:t>Long-Stop-Date</w:t>
            </w:r>
          </w:p>
        </w:tc>
        <w:tc>
          <w:tcPr>
            <w:tcW w:type="dxa" w:w="4831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r>
              <w:rPr>
                <w:rFonts w:ascii="Times New Roman" w:hAnsi="Times New Roman"/>
                <w:sz w:val="17"/>
              </w:rPr>
              <w:t>15.09.2026</w:t>
            </w:r>
          </w:p>
        </w:tc>
      </w:tr>
    </w:tbl>
    <w:p/>
    <w:p/>
    <w:p>
      <w:pPr>
        <w:pStyle w:val="Heading2"/>
      </w:pPr>
      <w:r>
        <w:t>Cast</w:t>
      </w:r>
    </w:p>
    <w:p/>
    <w:p>
      <w:pPr>
        <w:pStyle w:val="Heading3"/>
      </w:pPr>
      <w:r>
        <w:t>Auf Mandantenseite</w:t>
      </w:r>
    </w:p>
    <w:p/>
    <w:p>
      <w:pPr>
        <w:pStyle w:val="ListBullet"/>
      </w:pPr>
      <w:r>
        <w:rPr>
          <w:rFonts w:ascii="Times New Roman" w:hAnsi="Times New Roman"/>
          <w:sz w:val="20"/>
        </w:rPr>
        <w:t>Kunigunde Reiter — Gründerin, CEO, 40 Prozent nominal. Volkswirtin, will Mandantenfragen in normaler Sprache beantwortet bekommen, ohne Anglizismen-Lawine. Sehr klare Linie: Anrechnung der bereits geleisteten Vesting-Monate ist für sie ein Knackpunkt.</w:t>
      </w:r>
    </w:p>
    <w:p>
      <w:pPr>
        <w:pStyle w:val="ListBullet"/>
      </w:pPr>
      <w:r>
        <w:rPr>
          <w:rFonts w:ascii="Times New Roman" w:hAnsi="Times New Roman"/>
          <w:sz w:val="20"/>
        </w:rPr>
        <w:t>Meinhard Voss — Gründer, CTO, 30 Prozent nominal. Skeptisch gegenüber englischen Begriffen, hält Anti-Dilution intuitiv für „auch eine Art Bezugsrecht". Heikler Punkt für den Gründercall.</w:t>
      </w:r>
    </w:p>
    <w:p>
      <w:pPr>
        <w:pStyle w:val="ListBullet"/>
      </w:pPr>
      <w:r>
        <w:rPr>
          <w:rFonts w:ascii="Times New Roman" w:hAnsi="Times New Roman"/>
          <w:sz w:val="20"/>
        </w:rPr>
        <w:t>Walburga Stein — Gründerin, Product, 20 Prozent nominal. Politisch im Gründerteam Mittlerin; will keine Reibung mit Investoren.</w:t>
      </w:r>
    </w:p>
    <w:p>
      <w:pPr>
        <w:pStyle w:val="ListBullet"/>
      </w:pPr>
      <w:r>
        <w:rPr>
          <w:rFonts w:ascii="Times New Roman" w:hAnsi="Times New Roman"/>
          <w:sz w:val="20"/>
        </w:rPr>
        <w:t>Olaf Eichholtz — Interim CFO, ehemals Inhouse Counsel bei einem Mittelstandskonzern. Liefert die internen Cap-Table-Files. Hat aber Cap Table und Gesellschafterliste in einem Excel-Reiter vermischt — typischer Fehler.</w:t>
      </w:r>
    </w:p>
    <w:p>
      <w:pPr>
        <w:pStyle w:val="ListBullet"/>
      </w:pPr>
      <w:r>
        <w:rPr>
          <w:rFonts w:ascii="Times New Roman" w:hAnsi="Times New Roman"/>
          <w:sz w:val="20"/>
        </w:rPr>
        <w:t>Eberwein &amp; Helmstadt LLP, München — bisherige Hauskanzlei für Arbeitsrecht und Vertragsrecht. Keine Corporate-Praxis. Hat den Seed-SHA gezeichnet.</w:t>
      </w:r>
    </w:p>
    <w:p>
      <w:pPr>
        <w:pStyle w:val="ListBullet"/>
      </w:pPr>
      <w:r>
        <w:rPr>
          <w:rFonts w:ascii="Times New Roman" w:hAnsi="Times New Roman"/>
          <w:sz w:val="20"/>
        </w:rPr>
        <w:t>Steuerberaterin — Sozietät Hartwig, Frankfurt, kümmert sich um die Lohnsteuerthemen rund um VSOP.</w:t>
      </w:r>
    </w:p>
    <w:p/>
    <w:p>
      <w:pPr>
        <w:pStyle w:val="Heading3"/>
      </w:pPr>
      <w:r>
        <w:t>Auf Investorenseite Lead</w:t>
      </w:r>
    </w:p>
    <w:p/>
    <w:p>
      <w:pPr>
        <w:pStyle w:val="ListBullet"/>
      </w:pPr>
      <w:r>
        <w:rPr>
          <w:rFonts w:ascii="Times New Roman" w:hAnsi="Times New Roman"/>
          <w:sz w:val="20"/>
        </w:rPr>
        <w:t>Northbridge Growth III SCS — Lead-Fonds, Sitz Luxemburg. General Partner: Northbridge Growth GP S.à r.l. Investment Committee tagt Mittwochs.</w:t>
      </w:r>
    </w:p>
    <w:p>
      <w:pPr>
        <w:pStyle w:val="ListBullet"/>
      </w:pPr>
      <w:r>
        <w:rPr>
          <w:rFonts w:ascii="Times New Roman" w:hAnsi="Times New Roman"/>
          <w:sz w:val="20"/>
        </w:rPr>
        <w:t>Henning Lüttich — Partner Northbridge, Deal Lead. Hat in San Francisco gearbeitet, mischt Delaware-Logik mit Frankfurter Realität. Hält Investor Director Approval intuitiv für „Board veto".</w:t>
      </w:r>
    </w:p>
    <w:p>
      <w:pPr>
        <w:pStyle w:val="ListBullet"/>
      </w:pPr>
      <w:r>
        <w:rPr>
          <w:rFonts w:ascii="Times New Roman" w:hAnsi="Times New Roman"/>
          <w:sz w:val="20"/>
        </w:rPr>
        <w:t>Vivienne Ostwald — Senior Associate Northbridge, kümmert sich um Term-Sheet-Verhandlung.</w:t>
      </w:r>
    </w:p>
    <w:p>
      <w:pPr>
        <w:pStyle w:val="ListBullet"/>
      </w:pPr>
      <w:r>
        <w:rPr>
          <w:rFonts w:ascii="Times New Roman" w:hAnsi="Times New Roman"/>
          <w:sz w:val="20"/>
        </w:rPr>
        <w:t>Brackenmuir &amp; Quint LLP, Frankfurt — Investor Counsel. Magic Circle, mit deutscher Praxis. Lead: Dr. Frieda Brackenmuir.</w:t>
      </w:r>
    </w:p>
    <w:p/>
    <w:p>
      <w:pPr>
        <w:pStyle w:val="Heading3"/>
      </w:pPr>
      <w:r>
        <w:t>Auf Investorenseite Co</w:t>
      </w:r>
    </w:p>
    <w:p/>
    <w:p>
      <w:pPr>
        <w:pStyle w:val="ListBullet"/>
      </w:pPr>
      <w:r>
        <w:rPr>
          <w:rFonts w:ascii="Times New Roman" w:hAnsi="Times New Roman"/>
          <w:sz w:val="20"/>
        </w:rPr>
        <w:t>Siegfried Krämer Angel Pool — vier Privatpersonen, gepoolt über die „Krämer Angel Investment GbR", Sitz Bad Homburg. Sprecher: RA Siegfried Krämer.</w:t>
      </w:r>
    </w:p>
    <w:p>
      <w:pPr>
        <w:pStyle w:val="ListBullet"/>
      </w:pPr>
      <w:r>
        <w:rPr>
          <w:rFonts w:ascii="Times New Roman" w:hAnsi="Times New Roman"/>
          <w:sz w:val="20"/>
        </w:rPr>
        <w:t>Stahlauge Ventures GmbH — Seed-Investor seit 2023, hält 10 Prozent. Will Bestandsschutz für die Seed-Präferenz.</w:t>
      </w:r>
    </w:p>
    <w:p>
      <w:pPr>
        <w:pStyle w:val="ListBullet"/>
      </w:pPr>
      <w:r>
        <w:rPr>
          <w:rFonts w:ascii="Times New Roman" w:hAnsi="Times New Roman"/>
          <w:sz w:val="20"/>
        </w:rPr>
        <w:t>Tante Ermelind Capital UG (haftungsbeschränkt) — Family-Office-Vehikel des Onkels von Walburga Stein. Hat ein Wandeldarlehen über 600.000 EUR ausgegeben.</w:t>
      </w:r>
    </w:p>
    <w:p/>
    <w:p>
      <w:pPr>
        <w:pStyle w:val="Heading3"/>
      </w:pPr>
      <w:r>
        <w:t>Auf Beraterseite Mandantin</w:t>
      </w:r>
    </w:p>
    <w:p/>
    <w:p>
      <w:pPr>
        <w:pStyle w:val="ListBullet"/>
      </w:pPr>
      <w:r>
        <w:rPr>
          <w:rFonts w:ascii="Times New Roman" w:hAnsi="Times New Roman"/>
          <w:sz w:val="20"/>
        </w:rPr>
        <w:t>Dr. Adelheid von Westarp — Partnerin Corporate, federführend für Kometenfalter.</w:t>
      </w:r>
    </w:p>
    <w:p>
      <w:pPr>
        <w:pStyle w:val="ListBullet"/>
      </w:pPr>
      <w:r>
        <w:rPr>
          <w:rFonts w:ascii="Times New Roman" w:hAnsi="Times New Roman"/>
          <w:sz w:val="20"/>
        </w:rPr>
        <w:t>Roswitha Plöger — Counsel, Tax und VSOP-Themen.</w:t>
      </w:r>
    </w:p>
    <w:p>
      <w:pPr>
        <w:pStyle w:val="ListBullet"/>
      </w:pPr>
      <w:r>
        <w:rPr>
          <w:rFonts w:ascii="Times New Roman" w:hAnsi="Times New Roman"/>
          <w:sz w:val="20"/>
        </w:rPr>
        <w:t>Hildemar K. — Associate 1. Jahr, frisch aus dem Referendariat. Schreibt den Arbeitsstand in Datei 06.</w:t>
      </w:r>
    </w:p>
    <w:p>
      <w:pPr>
        <w:pStyle w:val="ListBullet"/>
      </w:pPr>
      <w:r>
        <w:rPr>
          <w:rFonts w:ascii="Times New Roman" w:hAnsi="Times New Roman"/>
          <w:sz w:val="20"/>
        </w:rPr>
        <w:t>Sebastian Volpert — Notariatsangestellter im Notariat Schwartz, koordiniert Beurkundungstermine.</w:t>
      </w:r>
    </w:p>
    <w:p/>
    <w:p>
      <w:pPr>
        <w:pStyle w:val="Heading2"/>
      </w:pPr>
      <w:r>
        <w:t>Zeitleiste seit Seed</w:t>
      </w:r>
    </w:p>
    <w:p/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4831"/>
        <w:gridCol w:w="4831"/>
      </w:tblGrid>
      <w:tr>
        <w:tc>
          <w:tcPr>
            <w:tcW w:type="dxa" w:w="4831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  <w:shd w:fill="E8EEF7"/>
          </w:tcPr>
          <w:p>
            <w:r>
              <w:rPr>
                <w:rFonts w:ascii="Times New Roman" w:hAnsi="Times New Roman"/>
                <w:b/>
                <w:sz w:val="17"/>
              </w:rPr>
              <w:t>Datum</w:t>
            </w:r>
          </w:p>
        </w:tc>
        <w:tc>
          <w:tcPr>
            <w:tcW w:type="dxa" w:w="4831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  <w:shd w:fill="E8EEF7"/>
          </w:tcPr>
          <w:p>
            <w:r>
              <w:rPr>
                <w:rFonts w:ascii="Times New Roman" w:hAnsi="Times New Roman"/>
                <w:b/>
                <w:sz w:val="17"/>
              </w:rPr>
              <w:t>Ereignis</w:t>
            </w:r>
          </w:p>
        </w:tc>
      </w:tr>
      <w:tr>
        <w:tc>
          <w:tcPr>
            <w:tcW w:type="dxa" w:w="4831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r>
              <w:rPr>
                <w:rFonts w:ascii="Times New Roman" w:hAnsi="Times New Roman"/>
                <w:sz w:val="17"/>
              </w:rPr>
              <w:t>14.02.2022</w:t>
            </w:r>
          </w:p>
        </w:tc>
        <w:tc>
          <w:tcPr>
            <w:tcW w:type="dxa" w:w="4831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r>
              <w:rPr>
                <w:rFonts w:ascii="Times New Roman" w:hAnsi="Times New Roman"/>
                <w:sz w:val="17"/>
              </w:rPr>
              <w:t>Gründung Kometenfalter Systems GmbH, Stammkapital 25.000 EUR, drei Gründer.</w:t>
            </w:r>
          </w:p>
        </w:tc>
      </w:tr>
      <w:tr>
        <w:tc>
          <w:tcPr>
            <w:tcW w:type="dxa" w:w="4831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r>
              <w:rPr>
                <w:rFonts w:ascii="Times New Roman" w:hAnsi="Times New Roman"/>
                <w:sz w:val="17"/>
              </w:rPr>
              <w:t>01.07.2023</w:t>
            </w:r>
          </w:p>
        </w:tc>
        <w:tc>
          <w:tcPr>
            <w:tcW w:type="dxa" w:w="4831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r>
              <w:rPr>
                <w:rFonts w:ascii="Times New Roman" w:hAnsi="Times New Roman"/>
                <w:sz w:val="17"/>
              </w:rPr>
              <w:t>Kapitalerhöhung um 5.000 EUR; Stahlauge Ventures GmbH übernimmt neue Geschäftsanteile, Seed-Investment 1,5 Mio. EUR, 1x non-participating preference, basic anti-dilution.</w:t>
            </w:r>
          </w:p>
        </w:tc>
      </w:tr>
      <w:tr>
        <w:tc>
          <w:tcPr>
            <w:tcW w:type="dxa" w:w="4831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r>
              <w:rPr>
                <w:rFonts w:ascii="Times New Roman" w:hAnsi="Times New Roman"/>
                <w:sz w:val="17"/>
              </w:rPr>
              <w:t>01.07.2023</w:t>
            </w:r>
          </w:p>
        </w:tc>
        <w:tc>
          <w:tcPr>
            <w:tcW w:type="dxa" w:w="4831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r>
              <w:rPr>
                <w:rFonts w:ascii="Times New Roman" w:hAnsi="Times New Roman"/>
                <w:sz w:val="17"/>
              </w:rPr>
              <w:t>Seed-SHA und Satzungsänderung beurkundet, UR-Nr. 412/2023 Notariat Schwartz.</w:t>
            </w:r>
          </w:p>
        </w:tc>
      </w:tr>
      <w:tr>
        <w:tc>
          <w:tcPr>
            <w:tcW w:type="dxa" w:w="4831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r>
              <w:rPr>
                <w:rFonts w:ascii="Times New Roman" w:hAnsi="Times New Roman"/>
                <w:sz w:val="17"/>
              </w:rPr>
              <w:t>01.01.2024</w:t>
            </w:r>
          </w:p>
        </w:tc>
        <w:tc>
          <w:tcPr>
            <w:tcW w:type="dxa" w:w="4831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r>
              <w:rPr>
                <w:rFonts w:ascii="Times New Roman" w:hAnsi="Times New Roman"/>
                <w:sz w:val="17"/>
              </w:rPr>
              <w:t>Reverse Vesting der Gründer beginnt, 36 Monate, 12 Monate Cliff.</w:t>
            </w:r>
          </w:p>
        </w:tc>
      </w:tr>
      <w:tr>
        <w:tc>
          <w:tcPr>
            <w:tcW w:type="dxa" w:w="4831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r>
              <w:rPr>
                <w:rFonts w:ascii="Times New Roman" w:hAnsi="Times New Roman"/>
                <w:sz w:val="17"/>
              </w:rPr>
              <w:t>03.03.2024</w:t>
            </w:r>
          </w:p>
        </w:tc>
        <w:tc>
          <w:tcPr>
            <w:tcW w:type="dxa" w:w="4831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r>
              <w:rPr>
                <w:rFonts w:ascii="Times New Roman" w:hAnsi="Times New Roman"/>
                <w:sz w:val="17"/>
              </w:rPr>
              <w:t>Anmeldung Kapitalerhöhung im Handelsregister.</w:t>
            </w:r>
          </w:p>
        </w:tc>
      </w:tr>
      <w:tr>
        <w:tc>
          <w:tcPr>
            <w:tcW w:type="dxa" w:w="4831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r>
              <w:rPr>
                <w:rFonts w:ascii="Times New Roman" w:hAnsi="Times New Roman"/>
                <w:sz w:val="17"/>
              </w:rPr>
              <w:t>15.04.2024</w:t>
            </w:r>
          </w:p>
        </w:tc>
        <w:tc>
          <w:tcPr>
            <w:tcW w:type="dxa" w:w="4831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r>
              <w:rPr>
                <w:rFonts w:ascii="Times New Roman" w:hAnsi="Times New Roman"/>
                <w:sz w:val="17"/>
              </w:rPr>
              <w:t>Eintragung Kapitalerhöhung im Handelsregister; aktuelle Gesellschafterliste eingereicht.</w:t>
            </w:r>
          </w:p>
        </w:tc>
      </w:tr>
      <w:tr>
        <w:tc>
          <w:tcPr>
            <w:tcW w:type="dxa" w:w="4831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r>
              <w:rPr>
                <w:rFonts w:ascii="Times New Roman" w:hAnsi="Times New Roman"/>
                <w:sz w:val="17"/>
              </w:rPr>
              <w:t>12.09.2024</w:t>
            </w:r>
          </w:p>
        </w:tc>
        <w:tc>
          <w:tcPr>
            <w:tcW w:type="dxa" w:w="4831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r>
              <w:rPr>
                <w:rFonts w:ascii="Times New Roman" w:hAnsi="Times New Roman"/>
                <w:sz w:val="17"/>
              </w:rPr>
              <w:t>Beirat per Gesellschafterbeschluss eingerichtet, ohne Geschäftsordnung; tagt informell.</w:t>
            </w:r>
          </w:p>
        </w:tc>
      </w:tr>
      <w:tr>
        <w:tc>
          <w:tcPr>
            <w:tcW w:type="dxa" w:w="4831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r>
              <w:rPr>
                <w:rFonts w:ascii="Times New Roman" w:hAnsi="Times New Roman"/>
                <w:sz w:val="17"/>
              </w:rPr>
              <w:t>21.11.2024</w:t>
            </w:r>
          </w:p>
        </w:tc>
        <w:tc>
          <w:tcPr>
            <w:tcW w:type="dxa" w:w="4831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r>
              <w:rPr>
                <w:rFonts w:ascii="Times New Roman" w:hAnsi="Times New Roman"/>
                <w:sz w:val="17"/>
              </w:rPr>
              <w:t>Wandeldarlehen Tante Ermelind Capital UG über 600.000 EUR, DocuSign, nicht beurkundet.</w:t>
            </w:r>
          </w:p>
        </w:tc>
      </w:tr>
      <w:tr>
        <w:tc>
          <w:tcPr>
            <w:tcW w:type="dxa" w:w="4831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r>
              <w:rPr>
                <w:rFonts w:ascii="Times New Roman" w:hAnsi="Times New Roman"/>
                <w:sz w:val="17"/>
              </w:rPr>
              <w:t>18.02.2025</w:t>
            </w:r>
          </w:p>
        </w:tc>
        <w:tc>
          <w:tcPr>
            <w:tcW w:type="dxa" w:w="4831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r>
              <w:rPr>
                <w:rFonts w:ascii="Times New Roman" w:hAnsi="Times New Roman"/>
                <w:sz w:val="17"/>
              </w:rPr>
              <w:t>VSOP-Programm aufgelegt, 900 virtuelle Anteile zugesagt, davon 360 vested.</w:t>
            </w:r>
          </w:p>
        </w:tc>
      </w:tr>
      <w:tr>
        <w:tc>
          <w:tcPr>
            <w:tcW w:type="dxa" w:w="4831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r>
              <w:rPr>
                <w:rFonts w:ascii="Times New Roman" w:hAnsi="Times New Roman"/>
                <w:sz w:val="17"/>
              </w:rPr>
              <w:t>15.05.2025</w:t>
            </w:r>
          </w:p>
        </w:tc>
        <w:tc>
          <w:tcPr>
            <w:tcW w:type="dxa" w:w="4831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r>
              <w:rPr>
                <w:rFonts w:ascii="Times New Roman" w:hAnsi="Times New Roman"/>
                <w:sz w:val="17"/>
              </w:rPr>
              <w:t>Erstgespräch mit Northbridge.</w:t>
            </w:r>
          </w:p>
        </w:tc>
      </w:tr>
      <w:tr>
        <w:tc>
          <w:tcPr>
            <w:tcW w:type="dxa" w:w="4831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r>
              <w:rPr>
                <w:rFonts w:ascii="Times New Roman" w:hAnsi="Times New Roman"/>
                <w:sz w:val="17"/>
              </w:rPr>
              <w:t>02.10.2025</w:t>
            </w:r>
          </w:p>
        </w:tc>
        <w:tc>
          <w:tcPr>
            <w:tcW w:type="dxa" w:w="4831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r>
              <w:rPr>
                <w:rFonts w:ascii="Times New Roman" w:hAnsi="Times New Roman"/>
                <w:sz w:val="17"/>
              </w:rPr>
              <w:t>Northbridge IC genehmigt LOI.</w:t>
            </w:r>
          </w:p>
        </w:tc>
      </w:tr>
      <w:tr>
        <w:tc>
          <w:tcPr>
            <w:tcW w:type="dxa" w:w="4831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r>
              <w:rPr>
                <w:rFonts w:ascii="Times New Roman" w:hAnsi="Times New Roman"/>
                <w:sz w:val="17"/>
              </w:rPr>
              <w:t>12.11.2025</w:t>
            </w:r>
          </w:p>
        </w:tc>
        <w:tc>
          <w:tcPr>
            <w:tcW w:type="dxa" w:w="4831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r>
              <w:rPr>
                <w:rFonts w:ascii="Times New Roman" w:hAnsi="Times New Roman"/>
                <w:sz w:val="17"/>
              </w:rPr>
              <w:t>LOI gezeichnet.</w:t>
            </w:r>
          </w:p>
        </w:tc>
      </w:tr>
      <w:tr>
        <w:tc>
          <w:tcPr>
            <w:tcW w:type="dxa" w:w="4831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r>
              <w:rPr>
                <w:rFonts w:ascii="Times New Roman" w:hAnsi="Times New Roman"/>
                <w:sz w:val="17"/>
              </w:rPr>
              <w:t>18.12.2025</w:t>
            </w:r>
          </w:p>
        </w:tc>
        <w:tc>
          <w:tcPr>
            <w:tcW w:type="dxa" w:w="4831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r>
              <w:rPr>
                <w:rFonts w:ascii="Times New Roman" w:hAnsi="Times New Roman"/>
                <w:sz w:val="17"/>
              </w:rPr>
              <w:t>Northbridge schickt Standard-Term-Sheet.</w:t>
            </w:r>
          </w:p>
        </w:tc>
      </w:tr>
      <w:tr>
        <w:tc>
          <w:tcPr>
            <w:tcW w:type="dxa" w:w="4831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r>
              <w:rPr>
                <w:rFonts w:ascii="Times New Roman" w:hAnsi="Times New Roman"/>
                <w:sz w:val="17"/>
              </w:rPr>
              <w:t>14.04.2026</w:t>
            </w:r>
          </w:p>
        </w:tc>
        <w:tc>
          <w:tcPr>
            <w:tcW w:type="dxa" w:w="4831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r>
              <w:rPr>
                <w:rFonts w:ascii="Times New Roman" w:hAnsi="Times New Roman"/>
                <w:sz w:val="17"/>
              </w:rPr>
              <w:t>Term Sheet Final Draft.</w:t>
            </w:r>
          </w:p>
        </w:tc>
      </w:tr>
      <w:tr>
        <w:tc>
          <w:tcPr>
            <w:tcW w:type="dxa" w:w="4831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r>
              <w:rPr>
                <w:rFonts w:ascii="Times New Roman" w:hAnsi="Times New Roman"/>
                <w:sz w:val="17"/>
              </w:rPr>
              <w:t>18.05.2026</w:t>
            </w:r>
          </w:p>
        </w:tc>
        <w:tc>
          <w:tcPr>
            <w:tcW w:type="dxa" w:w="4831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r>
              <w:rPr>
                <w:rFonts w:ascii="Times New Roman" w:hAnsi="Times New Roman"/>
                <w:sz w:val="17"/>
              </w:rPr>
              <w:t>Aktueller Notarentwurf der Gesellschafterliste (noch nicht eingereicht).</w:t>
            </w:r>
          </w:p>
        </w:tc>
      </w:tr>
      <w:tr>
        <w:tc>
          <w:tcPr>
            <w:tcW w:type="dxa" w:w="4831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r>
              <w:rPr>
                <w:rFonts w:ascii="Times New Roman" w:hAnsi="Times New Roman"/>
                <w:sz w:val="17"/>
              </w:rPr>
              <w:t>25.05.2026</w:t>
            </w:r>
          </w:p>
        </w:tc>
        <w:tc>
          <w:tcPr>
            <w:tcW w:type="dxa" w:w="4831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r>
              <w:rPr>
                <w:rFonts w:ascii="Times New Roman" w:hAnsi="Times New Roman"/>
                <w:sz w:val="17"/>
              </w:rPr>
              <w:t>Datenraum geöffnet, Brackenmuir &amp; Quint LLP arbeitet sich ein.</w:t>
            </w:r>
          </w:p>
        </w:tc>
      </w:tr>
      <w:tr>
        <w:tc>
          <w:tcPr>
            <w:tcW w:type="dxa" w:w="4831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r>
              <w:rPr>
                <w:rFonts w:ascii="Times New Roman" w:hAnsi="Times New Roman"/>
                <w:sz w:val="17"/>
              </w:rPr>
              <w:t>Donnerstag heute</w:t>
            </w:r>
          </w:p>
        </w:tc>
        <w:tc>
          <w:tcPr>
            <w:tcW w:type="dxa" w:w="4831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r>
              <w:rPr>
                <w:rFonts w:ascii="Times New Roman" w:hAnsi="Times New Roman"/>
                <w:sz w:val="17"/>
              </w:rPr>
              <w:t>Partnerin verlangt Briefing bis 11:30 Uhr.</w:t>
            </w:r>
          </w:p>
        </w:tc>
      </w:tr>
      <w:tr>
        <w:tc>
          <w:tcPr>
            <w:tcW w:type="dxa" w:w="4831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r>
              <w:rPr>
                <w:rFonts w:ascii="Times New Roman" w:hAnsi="Times New Roman"/>
                <w:sz w:val="17"/>
              </w:rPr>
              <w:t>15.07.2026</w:t>
            </w:r>
          </w:p>
        </w:tc>
        <w:tc>
          <w:tcPr>
            <w:tcW w:type="dxa" w:w="4831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r>
              <w:rPr>
                <w:rFonts w:ascii="Times New Roman" w:hAnsi="Times New Roman"/>
                <w:sz w:val="17"/>
              </w:rPr>
              <w:t>Zielcloseing.</w:t>
            </w:r>
          </w:p>
        </w:tc>
      </w:tr>
      <w:tr>
        <w:tc>
          <w:tcPr>
            <w:tcW w:type="dxa" w:w="4831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r>
              <w:rPr>
                <w:rFonts w:ascii="Times New Roman" w:hAnsi="Times New Roman"/>
                <w:sz w:val="17"/>
              </w:rPr>
              <w:t>15.09.2026</w:t>
            </w:r>
          </w:p>
        </w:tc>
        <w:tc>
          <w:tcPr>
            <w:tcW w:type="dxa" w:w="4831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r>
              <w:rPr>
                <w:rFonts w:ascii="Times New Roman" w:hAnsi="Times New Roman"/>
                <w:sz w:val="17"/>
              </w:rPr>
              <w:t>Long-Stop-Date laut Term Sheet.</w:t>
            </w:r>
          </w:p>
        </w:tc>
      </w:tr>
    </w:tbl>
    <w:p/>
    <w:p/>
    <w:p>
      <w:pPr>
        <w:pStyle w:val="Heading2"/>
      </w:pPr>
      <w:r>
        <w:t>Aktenschwerpunkte für die kommende Verhandlung</w:t>
      </w:r>
    </w:p>
    <w:p/>
    <w:p>
      <w:pPr>
        <w:pStyle w:val="ListBullet"/>
      </w:pPr>
      <w:r>
        <w:rPr>
          <w:rFonts w:ascii="Times New Roman" w:hAnsi="Times New Roman"/>
          <w:sz w:val="20"/>
        </w:rPr>
        <w:t>Saubere Trennung von Cap Table (internes Steuerungsinstrument) und Gesellschafterliste (öffentliches Register nach Paragraf 40 GmbHG).</w:t>
      </w:r>
    </w:p>
    <w:p>
      <w:pPr>
        <w:pStyle w:val="ListBullet"/>
      </w:pPr>
      <w:r>
        <w:rPr>
          <w:rFonts w:ascii="Times New Roman" w:hAnsi="Times New Roman"/>
          <w:sz w:val="20"/>
        </w:rPr>
        <w:t>Wirtschaftliche Position der Gründer auf fully diluted basis nach Pool-Shuffle, Wandlung des Wandeldarlehens Frau Ermelind und Bedienung der VSOP-Anteile.</w:t>
      </w:r>
    </w:p>
    <w:p>
      <w:pPr>
        <w:pStyle w:val="ListBullet"/>
      </w:pPr>
      <w:r>
        <w:rPr>
          <w:rFonts w:ascii="Times New Roman" w:hAnsi="Times New Roman"/>
          <w:sz w:val="20"/>
        </w:rPr>
        <w:t>Englische Vertragsbegriffe, die im deutschen Recht eine eigene Umsetzung verlangen: Liquidation Preference, Anti-Dilution, Drag/Tag, Reps &amp; Warranties, Consent Matters, Investor Director.</w:t>
      </w:r>
    </w:p>
    <w:p>
      <w:pPr>
        <w:pStyle w:val="ListBullet"/>
      </w:pPr>
      <w:r>
        <w:rPr>
          <w:rFonts w:ascii="Times New Roman" w:hAnsi="Times New Roman"/>
          <w:sz w:val="20"/>
        </w:rPr>
        <w:t>Brücke zwischen englischem Term Sheet, deutscher Notar-, Register- und GmbHG-Welt sowie bestehender Satzung und Seed-SHA.</w:t>
      </w:r>
    </w:p>
    <w:p>
      <w:pPr>
        <w:pStyle w:val="ListBullet"/>
      </w:pPr>
      <w:r>
        <w:rPr>
          <w:rFonts w:ascii="Times New Roman" w:hAnsi="Times New Roman"/>
          <w:sz w:val="20"/>
        </w:rPr>
        <w:t>Vorbereitung der Verhandlung mit Northbridge bzw. Brackenmuir &amp; Quint LLP: Partnerbriefing, Mandantenmemo und Liste an Investor Counsel.</w:t>
      </w:r>
    </w:p>
    <w:p/>
    <w:p>
      <w:pPr>
        <w:pStyle w:val="Heading2"/>
      </w:pPr>
      <w:r>
        <w:t>Offene Punkte zur Bearbeitung</w:t>
      </w:r>
    </w:p>
    <w:p/>
    <w:p>
      <w:pPr>
        <w:spacing w:after="80"/>
        <w:jc w:val="both"/>
      </w:pPr>
      <w:r>
        <w:rPr>
          <w:rFonts w:ascii="Times New Roman" w:hAnsi="Times New Roman"/>
          <w:sz w:val="21"/>
        </w:rPr>
        <w:t>Die Akte ist im Arbeitsstand und enthält erkennbare Widersprüche zwischen Term Sheet, Satzung, Seed-SHA, Wandeldarlehen und VSOP. Die nächsten Schritte: die Widersprüche identifizieren, in Partnerbriefing und Mandantenmemo zusammenführen und für die anstehende Verhandlung sortiert vorlegen.</w:t>
      </w:r>
    </w:p>
    <w:sectPr w:rsidR="00FC693F" w:rsidRPr="0006063C" w:rsidSect="00034616">
      <w:headerReference w:type="default" r:id="rId9"/>
      <w:footerReference w:type="default" r:id="rId10"/>
      <w:pgSz w:w="11909" w:h="16834"/>
      <w:pgMar w:top="1037" w:right="1123" w:bottom="1037" w:left="1123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jc w:val="center"/>
    </w:pPr>
    <w:r>
      <w:t>Kometenfalter Systems GmbH — internes Arbeitsmaterial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jc w:val="right"/>
    </w:pPr>
    <w:r>
      <w:t>Hagemann &amp; Westarp | Project Comet Moth | vertraulich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Times New Roman" w:hAnsi="Times New Roman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Times New Roman" w:hAnsi="Times New Roman"/>
      <w:b/>
      <w:bCs/>
      <w:color w:val="365F91" w:themeColor="accent1" w:themeShade="BF"/>
      <w:sz w:val="30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Times New Roman" w:hAnsi="Times New Roman"/>
      <w:b/>
      <w:bCs/>
      <w:color w:val="4F81BD" w:themeColor="accent1"/>
      <w:sz w:val="25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Times New Roman" w:hAnsi="Times New Roman"/>
      <w:b/>
      <w:bCs/>
      <w:color w:val="4F81BD" w:themeColor="accent1"/>
      <w:sz w:val="23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