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02 Cap Table und Gesellschafterliste</w:t>
      </w:r>
    </w:p>
    <w:p/>
    <w:p>
      <w:pPr>
        <w:pStyle w:val="Heading2"/>
      </w:pPr>
      <w:r>
        <w:t>Gesellschaft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Kometenfalter Systems GmbH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Sitz: Frankfurt am Main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Stammkapital: 30.000 EUR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Geschäftsanteile: lfd. Nr. 1 bis 30.000, jeweils 1 EUR Nennbetrag</w:t>
      </w:r>
    </w:p>
    <w:p>
      <w:pPr>
        <w:spacing w:after="80"/>
        <w:jc w:val="both"/>
      </w:pPr>
      <w:r>
        <w:rPr>
          <w:rFonts w:ascii="Times New Roman" w:hAnsi="Times New Roman"/>
          <w:sz w:val="21"/>
        </w:rPr>
        <w:t>Gegenstand: Entwicklung und Vertrieb von Software zur automatisierten Energieoptimierung in Gewerbeimmobilien</w:t>
      </w:r>
    </w:p>
    <w:p/>
    <w:p>
      <w:pPr>
        <w:pStyle w:val="Heading2"/>
      </w:pPr>
      <w:r>
        <w:t>Aktuelle Gesellschafterliste laut Notarentwurf vom 18.05.2026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16"/>
        <w:gridCol w:w="2416"/>
        <w:gridCol w:w="2416"/>
        <w:gridCol w:w="2416"/>
      </w:tblGrid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Gesellschafter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Geschäftsanteile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Nennbetrag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Prozent nominal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Kunigunde Reiter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Nr. 1 bis 12.000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12.000 EUR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40,00 %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Meinhard Voss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Nr. 12.001 bis 21.000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9.000 EUR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30,00 %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Walburga Stein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Nr. 21.001 bis 27.000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6.000 EUR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20,00 %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Stahlauge Ventures GmbH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Nr. 27.001 bis 30.000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3.000 EUR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10,00 %</w:t>
            </w:r>
          </w:p>
        </w:tc>
      </w:tr>
    </w:tbl>
    <w:p/>
    <w:p/>
    <w:p>
      <w:pPr>
        <w:pStyle w:val="Heading2"/>
      </w:pPr>
      <w:r>
        <w:t>Interner Cap Table der Gesellschaft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16"/>
        <w:gridCol w:w="2416"/>
        <w:gridCol w:w="2416"/>
        <w:gridCol w:w="2416"/>
      </w:tblGrid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Beteiligter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Current Shares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Current %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Notizen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Kunigunde Reiter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12.000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40,00 %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Gründerin CEO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Meinhard Voss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9.000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30,00 %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Gründer CTO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Walburga Stein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6.000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20,00 %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Gründerin Product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Stahlauge Ventures GmbH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3.000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10,00 %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Seed-Investor, 1x non-participating preference im Seed-SHA behauptet</w:t>
            </w:r>
          </w:p>
        </w:tc>
      </w:tr>
    </w:tbl>
    <w:p/>
    <w:p/>
    <w:p>
      <w:pPr>
        <w:pStyle w:val="Heading2"/>
      </w:pPr>
      <w:r>
        <w:t>Geplante Series A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Northbridge Growth III SCS: Investment 4.800.000 EUR.</w:t>
      </w:r>
    </w:p>
    <w:p>
      <w:pPr>
        <w:pStyle w:val="ListBullet"/>
      </w:pPr>
      <w:r>
        <w:rPr>
          <w:rFonts w:ascii="Times New Roman" w:hAnsi="Times New Roman"/>
          <w:sz w:val="20"/>
        </w:rPr>
        <w:t>Siegfried Krämer Angel Pool: Investment 400.000 EUR.</w:t>
      </w:r>
    </w:p>
    <w:p>
      <w:pPr>
        <w:pStyle w:val="ListBullet"/>
      </w:pPr>
      <w:r>
        <w:rPr>
          <w:rFonts w:ascii="Times New Roman" w:hAnsi="Times New Roman"/>
          <w:sz w:val="20"/>
        </w:rPr>
        <w:t>Pre-money valuation laut Term Sheet: 12.000.000 EUR.</w:t>
      </w:r>
    </w:p>
    <w:p>
      <w:pPr>
        <w:pStyle w:val="ListBullet"/>
      </w:pPr>
      <w:r>
        <w:rPr>
          <w:rFonts w:ascii="Times New Roman" w:hAnsi="Times New Roman"/>
          <w:sz w:val="20"/>
        </w:rPr>
        <w:t>Option Pool soll "increased to 12 percent on a fully diluted pre-money basis" werden.</w:t>
      </w:r>
    </w:p>
    <w:p>
      <w:pPr>
        <w:pStyle w:val="ListBullet"/>
      </w:pPr>
      <w:r>
        <w:rPr>
          <w:rFonts w:ascii="Times New Roman" w:hAnsi="Times New Roman"/>
          <w:sz w:val="20"/>
        </w:rPr>
        <w:t>Bestehendes VSOP-Programm: 900 virtuelle Anteile zugesagt, davon 360 vested.</w:t>
      </w:r>
    </w:p>
    <w:p>
      <w:pPr>
        <w:pStyle w:val="ListBullet"/>
      </w:pPr>
      <w:r>
        <w:rPr>
          <w:rFonts w:ascii="Times New Roman" w:hAnsi="Times New Roman"/>
          <w:sz w:val="20"/>
        </w:rPr>
        <w:t>Wandeldarlehen von Tante Ermelind Capital UG: 600.000 EUR principal, 8 Prozent Zins, 20 Prozent Discount, Valuation Cap 10.000.000 EUR, Wandlung bei Qualified Financing über 3.000.000 EUR.</w:t>
      </w:r>
    </w:p>
    <w:p/>
    <w:p>
      <w:pPr>
        <w:pStyle w:val="Heading2"/>
      </w:pPr>
      <w:r>
        <w:t>Offene Punkte</w:t>
      </w:r>
    </w:p>
    <w:p/>
    <w:p>
      <w:pPr>
        <w:pStyle w:val="ListNumber"/>
      </w:pPr>
      <w:r>
        <w:rPr>
          <w:rFonts w:ascii="Times New Roman" w:hAnsi="Times New Roman"/>
          <w:sz w:val="20"/>
        </w:rPr>
        <w:t>Der Cap Table der CFO-Datei enthält bereits "Series A Shares", obwohl die Kapitalerhöhung noch nicht beschlossen ist.</w:t>
      </w:r>
    </w:p>
    <w:p>
      <w:pPr>
        <w:pStyle w:val="ListNumber"/>
      </w:pPr>
      <w:r>
        <w:rPr>
          <w:rFonts w:ascii="Times New Roman" w:hAnsi="Times New Roman"/>
          <w:sz w:val="20"/>
        </w:rPr>
        <w:t>Der Option Pool ist in der Gesellschafterliste nicht sichtbar.</w:t>
      </w:r>
    </w:p>
    <w:p>
      <w:pPr>
        <w:pStyle w:val="ListNumber"/>
      </w:pPr>
      <w:r>
        <w:rPr>
          <w:rFonts w:ascii="Times New Roman" w:hAnsi="Times New Roman"/>
          <w:sz w:val="20"/>
        </w:rPr>
        <w:t>Das Wandeldarlehen ist in der Gesellschafterliste ebenfalls nicht sichtbar.</w:t>
      </w:r>
    </w:p>
    <w:p>
      <w:pPr>
        <w:pStyle w:val="ListNumber"/>
      </w:pPr>
      <w:r>
        <w:rPr>
          <w:rFonts w:ascii="Times New Roman" w:hAnsi="Times New Roman"/>
          <w:sz w:val="20"/>
        </w:rPr>
        <w:t>Northbridge rechnet den Option Pool pre-money, Kunigunde hatte post-money verstanden.</w:t>
      </w:r>
    </w:p>
    <w:p>
      <w:pPr>
        <w:pStyle w:val="ListNumber"/>
      </w:pPr>
      <w:r>
        <w:rPr>
          <w:rFonts w:ascii="Times New Roman" w:hAnsi="Times New Roman"/>
          <w:sz w:val="20"/>
        </w:rPr>
        <w:t>Der Seed-Investor verlangt, dass seine Seed-Präferenz in der Series-A-Dokumentation bestätigt wird.</w:t>
      </w:r>
    </w:p>
    <w:p/>
    <w:p>
      <w:pPr>
        <w:pStyle w:val="Heading2"/>
      </w:pPr>
      <w:r>
        <w:t>Cap Table v19 — saubere Trennung nach Slack-Thread</w:t>
      </w:r>
    </w:p>
    <w:p/>
    <w:p>
      <w:pPr>
        <w:pStyle w:val="Heading3"/>
      </w:pPr>
      <w:r>
        <w:t>V19a Current Cap Table, Stand 28.05.2026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16"/>
        <w:gridCol w:w="2416"/>
        <w:gridCol w:w="2416"/>
        <w:gridCol w:w="2416"/>
      </w:tblGrid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Position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Geschäftsanteile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Prozent stamm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Bemerkung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Kunigunde Reiter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12.000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40,00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Stammanteile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Meinhard Voss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9.000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30,00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Stammanteile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Walburga Stein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6.000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20,00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Stammanteile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Stahlauge Ventures GmbH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3.000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10,00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Seed-Vorzugsanteile, 1x non-participating preference</w:t>
            </w:r>
          </w:p>
        </w:tc>
      </w:tr>
      <w:tr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Summe ausgegeben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30.000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100,00</w:t>
            </w:r>
          </w:p>
        </w:tc>
        <w:tc>
          <w:tcPr>
            <w:tcW w:type="dxa" w:w="2416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entspricht Stammkapital 30.000 EUR</w:t>
            </w:r>
          </w:p>
        </w:tc>
      </w:tr>
    </w:tbl>
    <w:p/>
    <w:p/>
    <w:p>
      <w:pPr>
        <w:spacing w:after="80"/>
        <w:jc w:val="both"/>
      </w:pPr>
      <w:r>
        <w:rPr>
          <w:rFonts w:ascii="Times New Roman" w:hAnsi="Times New Roman"/>
          <w:sz w:val="21"/>
        </w:rPr>
        <w:t>VSOP: 900 virtuelle Anteile zugesagt, davon 360 vested. Keine echten Geschäftsanteile. Cap-Table-Block separat, nicht in Summe oben.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Wandeldarlehen Tante Ermelind: Principal 600.000 EUR plus aufgelaufene Zinsen ca. 100.000 EUR per Stand 28.05.2026. Convertible, nicht in Summe oben.</w:t>
      </w:r>
    </w:p>
    <w:p/>
    <w:p>
      <w:pPr>
        <w:pStyle w:val="Heading3"/>
      </w:pPr>
      <w:r>
        <w:t>V19b Projected Post-Closing Cap Table (Szenario 1: Pool 12 Prozent pre-money)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Annahmen Szenario 1: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Pre-Money 12.000.000 EUR auf fully diluted Basis.</w:t>
      </w:r>
    </w:p>
    <w:p>
      <w:pPr>
        <w:pStyle w:val="ListBullet"/>
      </w:pPr>
      <w:r>
        <w:rPr>
          <w:rFonts w:ascii="Times New Roman" w:hAnsi="Times New Roman"/>
          <w:sz w:val="20"/>
        </w:rPr>
        <w:t>Pool wird vor Investment auf 12 Prozent fully diluted pre-money erweitert.</w:t>
      </w:r>
    </w:p>
    <w:p>
      <w:pPr>
        <w:pStyle w:val="ListBullet"/>
      </w:pPr>
      <w:r>
        <w:rPr>
          <w:rFonts w:ascii="Times New Roman" w:hAnsi="Times New Roman"/>
          <w:sz w:val="20"/>
        </w:rPr>
        <w:t>Tante-Ermelind-Wandlung greift Valuation-Cap (10 Mio. EUR pre-money fully diluted).</w:t>
      </w:r>
    </w:p>
    <w:p>
      <w:pPr>
        <w:pStyle w:val="ListBullet"/>
      </w:pPr>
      <w:r>
        <w:rPr>
          <w:rFonts w:ascii="Times New Roman" w:hAnsi="Times New Roman"/>
          <w:sz w:val="20"/>
        </w:rPr>
        <w:t>Series-A-Subscription 5.200.000 EUR.</w:t>
      </w:r>
    </w:p>
    <w:p>
      <w:pPr>
        <w:pStyle w:val="ListBullet"/>
      </w:pPr>
      <w:r>
        <w:rPr>
          <w:rFonts w:ascii="Times New Roman" w:hAnsi="Times New Roman"/>
          <w:sz w:val="20"/>
        </w:rPr>
        <w:t>Pre-Money implizit nach Pool-Aufstockung und Convertible-Wandlung etwa 12 Mio. EUR.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933"/>
        <w:gridCol w:w="1933"/>
        <w:gridCol w:w="1933"/>
        <w:gridCol w:w="1933"/>
        <w:gridCol w:w="1933"/>
      </w:tblGrid>
      <w:tr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Position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Anteile vor Series A nach Pool-Shuffle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Prozent pre-money fully diluted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Anteile nach Series A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  <w:shd w:fill="E8EEF7"/>
          </w:tcPr>
          <w:p>
            <w:r>
              <w:rPr>
                <w:rFonts w:ascii="Times New Roman" w:hAnsi="Times New Roman"/>
                <w:b/>
                <w:sz w:val="17"/>
              </w:rPr>
              <w:t>Prozent post-money fully diluted</w:t>
            </w:r>
          </w:p>
        </w:tc>
      </w:tr>
      <w:tr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Kunigunde Reiter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12.000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28,78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12.000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20,08</w:t>
            </w:r>
          </w:p>
        </w:tc>
      </w:tr>
      <w:tr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Meinhard Voss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9.000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21,58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9.000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15,06</w:t>
            </w:r>
          </w:p>
        </w:tc>
      </w:tr>
      <w:tr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Walburga Stein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6.000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14,39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6.000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10,04</w:t>
            </w:r>
          </w:p>
        </w:tc>
      </w:tr>
      <w:tr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Stahlauge Ventures GmbH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3.000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7,19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3.000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5,02</w:t>
            </w:r>
          </w:p>
        </w:tc>
      </w:tr>
      <w:tr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Option Pool reserviert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5.000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11,99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5.000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8,37</w:t>
            </w:r>
          </w:p>
        </w:tc>
      </w:tr>
      <w:tr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Tante Ermelind aus Wandlung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6.700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16,07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6.700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11,21</w:t>
            </w:r>
          </w:p>
        </w:tc>
      </w:tr>
      <w:tr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Series A Northbridge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16.679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27,91</w:t>
            </w:r>
          </w:p>
        </w:tc>
      </w:tr>
      <w:tr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Series A Krämer Angels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1.390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2,33</w:t>
            </w:r>
          </w:p>
        </w:tc>
      </w:tr>
      <w:tr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Fully Diluted Summe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41.700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100,00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59.769</w:t>
            </w:r>
          </w:p>
        </w:tc>
        <w:tc>
          <w:tcPr>
            <w:tcW w:type="dxa" w:w="1933"/>
            <w:vAlign w:val="center"/>
            <w:tcMar>
              <w:top w:w="90" w:type="dxa"/>
              <w:start w:w="90" w:type="dxa"/>
              <w:bottom w:w="90" w:type="dxa"/>
              <w:end w:w="90" w:type="dxa"/>
            </w:tcMar>
          </w:tcPr>
          <w:p>
            <w:r>
              <w:rPr>
                <w:rFonts w:ascii="Times New Roman" w:hAnsi="Times New Roman"/>
                <w:sz w:val="17"/>
              </w:rPr>
              <w:t>100,02</w:t>
            </w:r>
          </w:p>
        </w:tc>
      </w:tr>
    </w:tbl>
    <w:p/>
    <w:p/>
    <w:p>
      <w:pPr>
        <w:spacing w:after="80"/>
        <w:jc w:val="both"/>
      </w:pPr>
      <w:r>
        <w:rPr>
          <w:rFonts w:ascii="Times New Roman" w:hAnsi="Times New Roman"/>
          <w:sz w:val="21"/>
        </w:rPr>
        <w:t>Die Summe 100,02 in der letzten Spalte ist ein Rundungsrest aus zwei Nachkommastellen je Zeile und kein Rechenfehler. Im Excel-Modell mit höherer Genauigkeit rechnen.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Berechnungslogik (Skizze, Senior-Review erforderlich):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Bestehende Anteile 30.000.</w:t>
      </w:r>
    </w:p>
    <w:p>
      <w:pPr>
        <w:pStyle w:val="ListBullet"/>
      </w:pPr>
      <w:r>
        <w:rPr>
          <w:rFonts w:ascii="Times New Roman" w:hAnsi="Times New Roman"/>
          <w:sz w:val="20"/>
        </w:rPr>
        <w:t>Pool-Reservierung 12 Prozent auf fully diluted vor Series A: Pool / (30.000 + Pool + Convertible-Anteile) = 0,12. Mit Convertible-Anteilen ca. 6.700 ergibt sich Pool ca. 5.000 Anteile (genau 5.005 bei rechnerischer Auflösung, hier auf 5.000 gerundet).</w:t>
      </w:r>
    </w:p>
    <w:p>
      <w:pPr>
        <w:pStyle w:val="ListBullet"/>
      </w:pPr>
      <w:r>
        <w:rPr>
          <w:rFonts w:ascii="Times New Roman" w:hAnsi="Times New Roman"/>
          <w:sz w:val="20"/>
        </w:rPr>
        <w:t>Convertible Wandlung zum Valuation Cap 10 Mio. EUR fully diluted: ca. 6.700 Anteile für Tante Ermelind (Principal 600.000 EUR plus aufgelaufene PIK-Zinsen, Cap-Preis liegt unter dem Discount-Preis und greift daher).</w:t>
      </w:r>
    </w:p>
    <w:p>
      <w:pPr>
        <w:pStyle w:val="ListBullet"/>
      </w:pPr>
      <w:r>
        <w:rPr>
          <w:rFonts w:ascii="Times New Roman" w:hAnsi="Times New Roman"/>
          <w:sz w:val="20"/>
        </w:rPr>
        <w:t>Pre-Money fully diluted total = 12.000 + 9.000 + 6.000 + 3.000 + 5.000 + 6.700 = 41.700 Anteile.</w:t>
      </w:r>
    </w:p>
    <w:p>
      <w:pPr>
        <w:pStyle w:val="ListBullet"/>
      </w:pPr>
      <w:r>
        <w:rPr>
          <w:rFonts w:ascii="Times New Roman" w:hAnsi="Times New Roman"/>
          <w:sz w:val="20"/>
        </w:rPr>
        <w:t>Series-A-Preis pro Anteil = 12.000.000 EUR / 41.700 Anteile = ca. 287,77 EUR.</w:t>
      </w:r>
    </w:p>
    <w:p>
      <w:pPr>
        <w:pStyle w:val="ListBullet"/>
      </w:pPr>
      <w:r>
        <w:rPr>
          <w:rFonts w:ascii="Times New Roman" w:hAnsi="Times New Roman"/>
          <w:sz w:val="20"/>
        </w:rPr>
        <w:t>Series-A-Anteile total = 5.200.000 EUR / 287,77 EUR = ca. 18.069 Anteile.</w:t>
      </w:r>
    </w:p>
    <w:p>
      <w:pPr>
        <w:pStyle w:val="ListBullet"/>
      </w:pPr>
      <w:r>
        <w:rPr>
          <w:rFonts w:ascii="Times New Roman" w:hAnsi="Times New Roman"/>
          <w:sz w:val="20"/>
        </w:rPr>
        <w:t>Aufteilung Lead vs Co-Investor im Verhältnis 4,8 zu 0,4 Mio. EUR (intern festgelegte Subscription-Aufteilung gemäß CFO-Slack-Thread vom 28.05.2026, dokumentiert oben in dieser Datei; Datei 03 Ziff. 2 verlangt insoweit nur eine Lead-Mindestquote von 75 Prozent und legt die genauen Anteile der Co-Investoren nicht fest): Northbridge 4,8/5,2 x 18.069 = ca. 16.679 Anteile; Krämer Angels 0,4/5,2 x 18.069 = ca. 1.390 Anteile.</w:t>
      </w:r>
    </w:p>
    <w:p>
      <w:pPr>
        <w:pStyle w:val="ListBullet"/>
      </w:pPr>
      <w:r>
        <w:rPr>
          <w:rFonts w:ascii="Times New Roman" w:hAnsi="Times New Roman"/>
          <w:sz w:val="20"/>
        </w:rPr>
        <w:t>Post-money fully diluted total = 41.700 + 18.069 = 59.769 Anteile.</w:t>
      </w:r>
    </w:p>
    <w:p>
      <w:pPr>
        <w:pStyle w:val="ListBullet"/>
      </w:pPr>
      <w:r>
        <w:rPr>
          <w:rFonts w:ascii="Times New Roman" w:hAnsi="Times New Roman"/>
          <w:sz w:val="20"/>
        </w:rPr>
        <w:t>Plausibilitätscheck Northbridge-Quote = 16.679 / 59.769 = ca. 27,9 Prozent, konsistent mit der vom Lead intern kommunizierten Zielquote von rund 25 bis 30 Prozent.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Hinweis: Diese Zahlen sind eine Skizze. Die exakten Wandlungs- und Pool-Anteile sind im Excel-Modell auszurechnen. Adelheid hat ausdrücklich verboten, sie ohne Verifikation an Northbridge zu kommunizieren.</w:t>
      </w:r>
    </w:p>
    <w:p/>
    <w:p>
      <w:pPr>
        <w:pStyle w:val="Heading3"/>
      </w:pPr>
      <w:r>
        <w:t>V19c Projected Post-Closing Cap Table (Szenario 2: Pool 12 Prozent post-money)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Annahmen Szenario 2: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Pool wird post-money 12 Prozent fully diluted. Mathematisch trägt Northbridge den Pool anteilig mit.</w:t>
      </w:r>
    </w:p>
    <w:p>
      <w:pPr>
        <w:pStyle w:val="ListBullet"/>
      </w:pPr>
      <w:r>
        <w:rPr>
          <w:rFonts w:ascii="Times New Roman" w:hAnsi="Times New Roman"/>
          <w:sz w:val="20"/>
        </w:rPr>
        <w:t>Series-A-Subscription unverändert 5,2 Mio. EUR.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Wirtschaftlicher Effekt: Bestandsgesellschafter haben hier rund 1,5 Prozentpunkte höhere Quoten als in Szenario 1, Northbridge etwas weniger. Vorrechnung im Excel-Modell, mit Mandantin am Tisch durchgehen.</w:t>
      </w:r>
    </w:p>
    <w:p/>
    <w:p>
      <w:pPr>
        <w:pStyle w:val="Heading2"/>
      </w:pPr>
      <w:r>
        <w:t>Stück-für-Stück-Rechnung mit Prüfschritten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Schritt 1: Stammkapital und ausgegebene Anteile (entspricht V19a oben).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Schritt 2: VSOP-Block separat ausweisen. Virtuelle Anteile führen nicht zu Geschäftsanteilen. Cap-Table-Behandlung hängt vom Series-A-SHA ab.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Schritt 3: Wandeldarlehen mit Discount-Variante und Valuation-Cap-Variante rechnen, niedrigere Conversion Price greift. Annahme bei Series-A-Pre-Money 12 Mio. EUR: Valuation Cap wirkt.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Schritt 4: Pool-Shuffle ausrechnen, beide Szenarien (Pre-Money und Post-Money).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Schritt 5: Series-A-Preis je Anteil bestimmen, Subscription Amount durch Preis je Anteil teilen, Aufteilung Lead und Co-Investor nach Subscription-Anteilen.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Schritt 6: Fully-diluted-Summe prüfen, Quoten ausrechnen, Konsistenz mit Term-Sheet-Erwartung (etwa 25 Prozent Northbridge post-money fully diluted) verifizieren.</w:t>
      </w:r>
    </w:p>
    <w:p/>
    <w:p>
      <w:pPr>
        <w:pStyle w:val="Heading2"/>
      </w:pPr>
      <w:r>
        <w:t>Was Kunigunde wissen muss</w:t>
      </w:r>
    </w:p>
    <w:p/>
    <w:p>
      <w:pPr>
        <w:pStyle w:val="ListBullet"/>
      </w:pPr>
      <w:r>
        <w:rPr>
          <w:rFonts w:ascii="Times New Roman" w:hAnsi="Times New Roman"/>
          <w:sz w:val="20"/>
        </w:rPr>
        <w:t>Gesellschafterliste ist die offizielle Liste der eingetragenen Geschäftsanteile.</w:t>
      </w:r>
    </w:p>
    <w:p>
      <w:pPr>
        <w:pStyle w:val="ListBullet"/>
      </w:pPr>
      <w:r>
        <w:rPr>
          <w:rFonts w:ascii="Times New Roman" w:hAnsi="Times New Roman"/>
          <w:sz w:val="20"/>
        </w:rPr>
        <w:t>Cap Table ist das interne Bild, das alles abbildet: Anteile, Optionen, Convertibles, virtuelle Beteiligungen.</w:t>
      </w:r>
    </w:p>
    <w:p>
      <w:pPr>
        <w:pStyle w:val="ListBullet"/>
      </w:pPr>
      <w:r>
        <w:rPr>
          <w:rFonts w:ascii="Times New Roman" w:hAnsi="Times New Roman"/>
          <w:sz w:val="20"/>
        </w:rPr>
        <w:t>Pre-Money-Pool-Shuffle trifft wirtschaftlich die Gründer, weil die zusätzlichen Pool-Anteile aus dem Pre-Money-Bestand herausgerechnet werden.</w:t>
      </w:r>
    </w:p>
    <w:p>
      <w:pPr>
        <w:pStyle w:val="ListBullet"/>
      </w:pPr>
      <w:r>
        <w:rPr>
          <w:rFonts w:ascii="Times New Roman" w:hAnsi="Times New Roman"/>
          <w:sz w:val="20"/>
        </w:rPr>
        <w:t>Wandeldarlehen Tante Ermelind bekommt rechnerisch mehr Anteile als Investoren, die zum gleichen Zeitpunkt frisches Geld einbringen, weil Discount oder Valuation Cap greifen.</w:t>
      </w:r>
    </w:p>
    <w:p>
      <w:pPr>
        <w:pStyle w:val="ListBullet"/>
      </w:pPr>
      <w:r>
        <w:rPr>
          <w:rFonts w:ascii="Times New Roman" w:hAnsi="Times New Roman"/>
          <w:sz w:val="20"/>
        </w:rPr>
        <w:t>VSOP verwässert ebenfalls, sobald virtuelle Anteile in Vergleichsmechaniken einbezogen werden.</w:t>
      </w:r>
    </w:p>
    <w:p/>
    <w:p>
      <w:pPr>
        <w:pStyle w:val="Heading2"/>
      </w:pPr>
      <w:r>
        <w:t>Senior-Review-Gate vor jeder Außenkommunikation</w:t>
      </w:r>
    </w:p>
    <w:p/>
    <w:p>
      <w:pPr>
        <w:spacing w:after="80"/>
        <w:jc w:val="both"/>
      </w:pPr>
      <w:r>
        <w:rPr>
          <w:rFonts w:ascii="Times New Roman" w:hAnsi="Times New Roman"/>
          <w:sz w:val="21"/>
        </w:rPr>
        <w:t>Kein Cap-Table-Zahlenwert geht an Northbridge oder Brackenmuir, bevor Adelheid die V19 abgezeichnet hat. Excel-Modell mit Prüfblatt, das alle Inputs gegen Quelldokumente verlinkt.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center"/>
    </w:pPr>
    <w:r>
      <w:t>Kometenfalter Systems GmbH — internes Arbeitsmaterial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jc w:val="right"/>
    </w:pPr>
    <w:r>
      <w:t>Hagemann &amp; Westarp | Project Comet Moth | vertraulich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Times New Roman" w:hAnsi="Times New Roman"/>
      <w:b/>
      <w:bCs/>
      <w:color w:val="365F91" w:themeColor="accent1" w:themeShade="BF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Times New Roman" w:hAnsi="Times New Roman"/>
      <w:b/>
      <w:bCs/>
      <w:color w:val="4F81BD" w:themeColor="accent1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