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04 SHA, Satzung und Vesting — Synopse Seed vs Series A</w:t>
      </w:r>
    </w:p>
    <w:p/>
    <w:p>
      <w:pPr>
        <w:spacing w:after="80"/>
        <w:jc w:val="both"/>
      </w:pPr>
      <w:r>
        <w:rPr>
          <w:rFonts w:ascii="Times New Roman" w:hAnsi="Times New Roman"/>
          <w:sz w:val="21"/>
        </w:rPr>
        <w:t>Diese Datei ist eine Arbeitsunterlage des Associates, die zentrale Bestimmungen der Satzung und des Seed-SHA dem Term Sheet (Datei 03) und dem geplanten Series-A-SHA gegenüberstellt. Sie ist bewusst tabellarisch und nicht beurkundungsreif. Die Partnerin Adelheid von Westarp hat den Auftrag erteilt, jede Diskrepanz als Verhandlungsfrage zu markieren.</w:t>
      </w:r>
    </w:p>
    <w:p/>
    <w:p/>
    <w:p/>
    <w:p>
      <w:pPr>
        <w:pStyle w:val="Heading2"/>
      </w:pPr>
      <w:r>
        <w:t>A Auszug Satzung (Stand: Beurkundung 12.01.2024, Notariat Schwartz, URNr. 47/2024)</w:t>
      </w:r>
    </w:p>
    <w:p/>
    <w:p>
      <w:pPr>
        <w:pStyle w:val="Heading3"/>
      </w:pPr>
      <w:r>
        <w:t>§ 3 Stammkapital</w:t>
      </w:r>
    </w:p>
    <w:p/>
    <w:p>
      <w:pPr>
        <w:spacing w:after="80"/>
        <w:jc w:val="both"/>
      </w:pPr>
      <w:r>
        <w:rPr>
          <w:rFonts w:ascii="Times New Roman" w:hAnsi="Times New Roman"/>
          <w:sz w:val="21"/>
        </w:rPr>
        <w:t>Das Stammkapital der Gesellschaft beträgt EUR 25.000 und ist eingeteilt in 25.000 Geschäftsanteile zu je EUR 1,00.</w:t>
      </w:r>
    </w:p>
    <w:p/>
    <w:p>
      <w:pPr>
        <w:pStyle w:val="Heading3"/>
      </w:pPr>
      <w:r>
        <w:t>§ 4 Geschäftsführung und Vertretung</w:t>
      </w:r>
    </w:p>
    <w:p/>
    <w:p>
      <w:pPr>
        <w:spacing w:after="80"/>
        <w:jc w:val="both"/>
      </w:pPr>
      <w:r>
        <w:rPr>
          <w:rFonts w:ascii="Times New Roman" w:hAnsi="Times New Roman"/>
          <w:sz w:val="21"/>
        </w:rPr>
        <w:t>Die Gesellschaft hat einen oder mehrere Geschäftsführer. Ist nur ein Geschäftsführer bestellt, vertritt er die Gesellschaft allein. Sind mehrere Geschäftsführer bestellt, wird die Gesellschaft durch zwei Geschäftsführer gemeinschaftlich oder durch einen Geschäftsführer in Gemeinschaft mit einem Prokuristen vertreten. Einzelvertretungsbefugnis und Befreiung von § 181 BGB können durch Gesellschafterbeschluss eingeräumt werden.</w:t>
      </w:r>
    </w:p>
    <w:p/>
    <w:p>
      <w:pPr>
        <w:pStyle w:val="Heading3"/>
      </w:pPr>
      <w:r>
        <w:t>§ 5 Geschäftsjahr</w:t>
      </w:r>
    </w:p>
    <w:p/>
    <w:p>
      <w:pPr>
        <w:spacing w:after="80"/>
        <w:jc w:val="both"/>
      </w:pPr>
      <w:r>
        <w:rPr>
          <w:rFonts w:ascii="Times New Roman" w:hAnsi="Times New Roman"/>
          <w:sz w:val="21"/>
        </w:rPr>
        <w:t>Das Geschäftsjahr ist das Kalenderjahr.</w:t>
      </w:r>
    </w:p>
    <w:p/>
    <w:p>
      <w:pPr>
        <w:pStyle w:val="Heading3"/>
      </w:pPr>
      <w:r>
        <w:t>§ 6 Übertragung von Geschäftsanteilen</w:t>
      </w:r>
    </w:p>
    <w:p/>
    <w:p>
      <w:pPr>
        <w:spacing w:after="80"/>
        <w:jc w:val="both"/>
      </w:pPr>
      <w:r>
        <w:rPr>
          <w:rFonts w:ascii="Times New Roman" w:hAnsi="Times New Roman"/>
          <w:sz w:val="21"/>
        </w:rPr>
        <w:t>Die Abtretung von Geschäftsanteilen oder Teilen von Geschäftsanteilen sowie jede Belastung bedürfen der vorherigen Zustimmung der Gesellschafterversammlung mit einer Mehrheit von 75 Prozent der abgegebenen Stimmen. Die Zustimmung darf nur aus wichtigem Grund verweigert werden. Vinkulierungsklauseln gemäß § 15 Abs. 5 GmbHG.</w:t>
      </w:r>
    </w:p>
    <w:p/>
    <w:p>
      <w:pPr>
        <w:pStyle w:val="Heading3"/>
      </w:pPr>
      <w:r>
        <w:t>§ 7 Einziehung</w:t>
      </w:r>
    </w:p>
    <w:p/>
    <w:p>
      <w:pPr>
        <w:spacing w:after="80"/>
        <w:jc w:val="both"/>
      </w:pPr>
      <w:r>
        <w:rPr>
          <w:rFonts w:ascii="Times New Roman" w:hAnsi="Times New Roman"/>
          <w:sz w:val="21"/>
        </w:rPr>
        <w:t>Geschäftsanteile können aus den in der Satzung genannten Gründen (insbesondere bei wesentlicher Vertragsverletzung, Insolvenz des Gesellschafters, Pfändung) ohne Zustimmung des betroffenen Gesellschafters eingezogen werden. Das Einziehungsentgelt entspricht dem Verkehrswert, im Bad-Leaver-Fall jedoch dem Nominalwert.</w:t>
      </w:r>
    </w:p>
    <w:p/>
    <w:p>
      <w:pPr>
        <w:pStyle w:val="Heading3"/>
      </w:pPr>
      <w:r>
        <w:t>§ 8 Beschlüsse</w:t>
      </w:r>
    </w:p>
    <w:p/>
    <w:p>
      <w:pPr>
        <w:spacing w:after="80"/>
        <w:jc w:val="both"/>
      </w:pPr>
      <w:r>
        <w:rPr>
          <w:rFonts w:ascii="Times New Roman" w:hAnsi="Times New Roman"/>
          <w:sz w:val="21"/>
        </w:rPr>
        <w:t>Beschlüsse werden mit einfacher Mehrheit der abgegebenen Stimmen gefasst, soweit Gesetz oder Satzung keine höhere Mehrheit vorsehen. Satzungsänderungen, Kapitalmaßnahmen, Auflösung und Verschmelzungen bedürfen einer Mehrheit von 75 Prozent.</w:t>
      </w:r>
    </w:p>
    <w:p/>
    <w:p>
      <w:pPr>
        <w:pStyle w:val="Heading3"/>
      </w:pPr>
      <w:r>
        <w:t>§ 9 Gesellschafterversammlung</w:t>
      </w:r>
    </w:p>
    <w:p/>
    <w:p>
      <w:pPr>
        <w:spacing w:after="80"/>
        <w:jc w:val="both"/>
      </w:pPr>
      <w:r>
        <w:rPr>
          <w:rFonts w:ascii="Times New Roman" w:hAnsi="Times New Roman"/>
          <w:sz w:val="21"/>
        </w:rPr>
        <w:t>Die ordentliche Gesellschafterversammlung findet einmal im Jahr statt. Außerordentliche Versammlungen können von der Geschäftsführung oder Gesellschaftern, die zusammen mindestens 10 Prozent der Stimmen halten, einberufen werden.</w:t>
      </w:r>
    </w:p>
    <w:p/>
    <w:p>
      <w:pPr>
        <w:pStyle w:val="Heading3"/>
      </w:pPr>
      <w:r>
        <w:t>§ 10 Gewinnverwendung</w:t>
      </w:r>
    </w:p>
    <w:p/>
    <w:p>
      <w:pPr>
        <w:spacing w:after="80"/>
        <w:jc w:val="both"/>
      </w:pPr>
      <w:r>
        <w:rPr>
          <w:rFonts w:ascii="Times New Roman" w:hAnsi="Times New Roman"/>
          <w:sz w:val="21"/>
        </w:rPr>
        <w:t>Soweit nicht durch Gesellschafterbeschluss eine andere Verwendung beschlossen wird, wird der Bilanzgewinn an die Gesellschafter im Verhältnis ihrer Geschäftsanteile ausgeschüttet.</w:t>
      </w:r>
    </w:p>
    <w:p/>
    <w:p>
      <w:pPr>
        <w:pStyle w:val="Heading3"/>
      </w:pPr>
      <w:r>
        <w:t>§ 11 Beirat</w:t>
      </w:r>
    </w:p>
    <w:p/>
    <w:p>
      <w:pPr>
        <w:spacing w:after="80"/>
        <w:jc w:val="both"/>
      </w:pPr>
      <w:r>
        <w:rPr>
          <w:rFonts w:ascii="Times New Roman" w:hAnsi="Times New Roman"/>
          <w:sz w:val="21"/>
        </w:rPr>
        <w:t>Die Gesellschaft kann durch Gesellschafterbeschluss einen Beirat einrichten. Der Beirat berät die Geschäftsführung. Eigenständige Entscheidungsbefugnisse stehen ihm nicht zu, soweit ihm solche nicht durch gesonderte Geschäftsordnung übertragen werden.</w:t>
      </w:r>
    </w:p>
    <w:p/>
    <w:p>
      <w:pPr>
        <w:pStyle w:val="Heading3"/>
      </w:pPr>
      <w:r>
        <w:t>§ 12 Bekanntmachungen</w:t>
      </w:r>
    </w:p>
    <w:p/>
    <w:p>
      <w:pPr>
        <w:spacing w:after="80"/>
        <w:jc w:val="both"/>
      </w:pPr>
      <w:r>
        <w:rPr>
          <w:rFonts w:ascii="Times New Roman" w:hAnsi="Times New Roman"/>
          <w:sz w:val="21"/>
        </w:rPr>
        <w:t>Bekanntmachungen erfolgen ausschließlich im Bundesanzeiger.</w:t>
      </w:r>
    </w:p>
    <w:p/>
    <w:p/>
    <w:p/>
    <w:p>
      <w:pPr>
        <w:pStyle w:val="Heading2"/>
      </w:pPr>
      <w:r>
        <w:t>B Seed-SHA Auszug (Stand: 12.01.2024)</w:t>
      </w:r>
    </w:p>
    <w:p/>
    <w:p>
      <w:pPr>
        <w:spacing w:after="80"/>
        <w:jc w:val="both"/>
      </w:pPr>
      <w:r>
        <w:rPr>
          <w:rFonts w:ascii="Times New Roman" w:hAnsi="Times New Roman"/>
          <w:sz w:val="21"/>
        </w:rPr>
        <w:t>Parteien: die Gründer (Kunigunde, Meinhard, Walburga), die Gesellschaft, Stahlauge Ventures GmbH, der Krämer Angel Pool GbR.</w:t>
      </w:r>
    </w:p>
    <w:p/>
    <w:p>
      <w:pPr>
        <w:pStyle w:val="Heading3"/>
      </w:pPr>
      <w:r>
        <w:t>Ziff. 3 Informationsrechte Stahlauge</w:t>
      </w:r>
    </w:p>
    <w:p/>
    <w:p>
      <w:pPr>
        <w:pStyle w:val="ListBullet"/>
      </w:pPr>
      <w:r>
        <w:rPr>
          <w:rFonts w:ascii="Times New Roman" w:hAnsi="Times New Roman"/>
          <w:sz w:val="20"/>
        </w:rPr>
        <w:t>Monatsreporting bis zum 15. Folgemonat.</w:t>
      </w:r>
    </w:p>
    <w:p>
      <w:pPr>
        <w:pStyle w:val="ListBullet"/>
      </w:pPr>
      <w:r>
        <w:rPr>
          <w:rFonts w:ascii="Times New Roman" w:hAnsi="Times New Roman"/>
          <w:sz w:val="20"/>
        </w:rPr>
        <w:t>Quartalsgespräch (jour fixe).</w:t>
      </w:r>
    </w:p>
    <w:p>
      <w:pPr>
        <w:pStyle w:val="ListBullet"/>
      </w:pPr>
      <w:r>
        <w:rPr>
          <w:rFonts w:ascii="Times New Roman" w:hAnsi="Times New Roman"/>
          <w:sz w:val="20"/>
        </w:rPr>
        <w:t>Budgetentwurf zum 15.11. für das Folgejahr.</w:t>
      </w:r>
    </w:p>
    <w:p>
      <w:pPr>
        <w:pStyle w:val="ListBullet"/>
      </w:pPr>
      <w:r>
        <w:rPr>
          <w:rFonts w:ascii="Times New Roman" w:hAnsi="Times New Roman"/>
          <w:sz w:val="20"/>
        </w:rPr>
        <w:t>Auditierter Jahresabschluss bis 30.06.</w:t>
      </w:r>
    </w:p>
    <w:p/>
    <w:p>
      <w:pPr>
        <w:pStyle w:val="Heading3"/>
      </w:pPr>
      <w:r>
        <w:t>Ziff. 4 Vinkulierung und Transfers</w:t>
      </w:r>
    </w:p>
    <w:p/>
    <w:p>
      <w:pPr>
        <w:pStyle w:val="ListBullet"/>
      </w:pPr>
      <w:r>
        <w:rPr>
          <w:rFonts w:ascii="Times New Roman" w:hAnsi="Times New Roman"/>
          <w:sz w:val="20"/>
        </w:rPr>
        <w:t>Gründer dürfen ohne Zustimmung der Gesellschafterversammlung und der Stahlauge keine Geschäftsanteile übertragen.</w:t>
      </w:r>
    </w:p>
    <w:p>
      <w:pPr>
        <w:pStyle w:val="ListBullet"/>
      </w:pPr>
      <w:r>
        <w:rPr>
          <w:rFonts w:ascii="Times New Roman" w:hAnsi="Times New Roman"/>
          <w:sz w:val="20"/>
        </w:rPr>
        <w:t>Permitted Transfers: Holdingvehikel, Verwandte ersten Grades.</w:t>
      </w:r>
    </w:p>
    <w:p/>
    <w:p>
      <w:pPr>
        <w:pStyle w:val="Heading3"/>
      </w:pPr>
      <w:r>
        <w:t>Ziff. 5 Vesting der Gründer</w:t>
      </w:r>
    </w:p>
    <w:p/>
    <w:p>
      <w:pPr>
        <w:pStyle w:val="ListBullet"/>
      </w:pPr>
      <w:r>
        <w:rPr>
          <w:rFonts w:ascii="Times New Roman" w:hAnsi="Times New Roman"/>
          <w:sz w:val="20"/>
        </w:rPr>
        <w:t>Reverse Vesting über 36 Monate ab 01.01.2024.</w:t>
      </w:r>
    </w:p>
    <w:p>
      <w:pPr>
        <w:pStyle w:val="ListBullet"/>
      </w:pPr>
      <w:r>
        <w:rPr>
          <w:rFonts w:ascii="Times New Roman" w:hAnsi="Times New Roman"/>
          <w:sz w:val="20"/>
        </w:rPr>
        <w:t>Kein Cliff (alter Investor wollte ihn nicht).</w:t>
      </w:r>
    </w:p>
    <w:p>
      <w:pPr>
        <w:pStyle w:val="ListBullet"/>
      </w:pPr>
      <w:r>
        <w:rPr>
          <w:rFonts w:ascii="Times New Roman" w:hAnsi="Times New Roman"/>
          <w:sz w:val="20"/>
        </w:rPr>
        <w:t>Monatliches Vesting in 36 gleichen Raten.</w:t>
      </w:r>
    </w:p>
    <w:p/>
    <w:p>
      <w:pPr>
        <w:pStyle w:val="Heading3"/>
      </w:pPr>
      <w:r>
        <w:t>Ziff. 6 Leaver</w:t>
      </w:r>
    </w:p>
    <w:p/>
    <w:p>
      <w:pPr>
        <w:pStyle w:val="ListBullet"/>
      </w:pPr>
      <w:r>
        <w:rPr>
          <w:rFonts w:ascii="Times New Roman" w:hAnsi="Times New Roman"/>
          <w:sz w:val="20"/>
        </w:rPr>
        <w:t>Bad Leaver: außerordentliche Kündigung aus wichtigem Grund, Straftat zulasten der Gesellschaft, vorsätzliche Pflichtverletzung; Call zum Nennwert auf alle nicht-gevesteten und auf 50 Prozent der gevesteten Anteile.</w:t>
      </w:r>
    </w:p>
    <w:p>
      <w:pPr>
        <w:pStyle w:val="ListBullet"/>
      </w:pPr>
      <w:r>
        <w:rPr>
          <w:rFonts w:ascii="Times New Roman" w:hAnsi="Times New Roman"/>
          <w:sz w:val="20"/>
        </w:rPr>
        <w:t>Good Leaver: Tod, dauerhafte Berufsunfähigkeit, Kündigung ohne wichtigen Grund durch die Gesellschaft; Call zum Nennwert auf nicht-gevestete Anteile, Verkehrswert auf gevestete.</w:t>
      </w:r>
    </w:p>
    <w:p/>
    <w:p>
      <w:pPr>
        <w:pStyle w:val="Heading3"/>
      </w:pPr>
      <w:r>
        <w:t>Ziff. 7 Drag-Along</w:t>
      </w:r>
    </w:p>
    <w:p/>
    <w:p>
      <w:pPr>
        <w:pStyle w:val="ListBullet"/>
      </w:pPr>
      <w:r>
        <w:rPr>
          <w:rFonts w:ascii="Times New Roman" w:hAnsi="Times New Roman"/>
          <w:sz w:val="20"/>
        </w:rPr>
        <w:t>Drag ab 70 Prozent Zustimmung der Stammkapitalmehrheit, ohne gesonderte Investorenmehrheit.</w:t>
      </w:r>
    </w:p>
    <w:p/>
    <w:p>
      <w:pPr>
        <w:pStyle w:val="Heading3"/>
      </w:pPr>
      <w:r>
        <w:t>Ziff. 8 Tag-Along</w:t>
      </w:r>
    </w:p>
    <w:p/>
    <w:p>
      <w:pPr>
        <w:pStyle w:val="ListBullet"/>
      </w:pPr>
      <w:r>
        <w:rPr>
          <w:rFonts w:ascii="Times New Roman" w:hAnsi="Times New Roman"/>
          <w:sz w:val="20"/>
        </w:rPr>
        <w:t>Tag bei Verkauf von mehr als 30 Prozent der Geschäftsanteile durch Gründer.</w:t>
      </w:r>
    </w:p>
    <w:p/>
    <w:p>
      <w:pPr>
        <w:pStyle w:val="Heading3"/>
      </w:pPr>
      <w:r>
        <w:t>Ziff. 9 Liquidation Preference</w:t>
      </w:r>
    </w:p>
    <w:p/>
    <w:p>
      <w:pPr>
        <w:pStyle w:val="ListBullet"/>
      </w:pPr>
      <w:r>
        <w:rPr>
          <w:rFonts w:ascii="Times New Roman" w:hAnsi="Times New Roman"/>
          <w:sz w:val="20"/>
        </w:rPr>
        <w:t>1x non-participating zugunsten Stahlauge auf den Seed-Eintrittspreis; keine Anti-Dilution-Klausel.</w:t>
      </w:r>
    </w:p>
    <w:p/>
    <w:p>
      <w:pPr>
        <w:pStyle w:val="Heading3"/>
      </w:pPr>
      <w:r>
        <w:t>Ziff. 10 Wettbewerbsverbot</w:t>
      </w:r>
    </w:p>
    <w:p/>
    <w:p>
      <w:pPr>
        <w:pStyle w:val="ListBullet"/>
      </w:pPr>
      <w:r>
        <w:rPr>
          <w:rFonts w:ascii="Times New Roman" w:hAnsi="Times New Roman"/>
          <w:sz w:val="20"/>
        </w:rPr>
        <w:t>12 Monate post-termination, auf Markt und Geographie der Gesellschaft beschränkt.</w:t>
      </w:r>
    </w:p>
    <w:p/>
    <w:p/>
    <w:p/>
    <w:p>
      <w:pPr>
        <w:pStyle w:val="Heading2"/>
      </w:pPr>
      <w:r>
        <w:t>C Synopse Seed-SHA vs Series-A-Term-Sheet vs Satzung</w:t>
      </w:r>
    </w:p>
    <w:p/>
    <w:tbl>
      <w:tblPr>
        <w:tblStyle w:val="TableGrid"/>
        <w:tblW w:type="auto" w:w="0"/>
        <w:jc w:val="center"/>
        <w:tblLook w:firstColumn="1" w:firstRow="1" w:lastColumn="0" w:lastRow="0" w:noHBand="0" w:noVBand="1" w:val="04A0"/>
      </w:tblPr>
      <w:tblGrid>
        <w:gridCol w:w="1933"/>
        <w:gridCol w:w="1933"/>
        <w:gridCol w:w="1933"/>
        <w:gridCol w:w="1933"/>
        <w:gridCol w:w="1933"/>
      </w:tblGrid>
      <w:tr>
        <w:tc>
          <w:tcPr>
            <w:tcW w:type="dxa" w:w="1933"/>
            <w:vAlign w:val="center"/>
            <w:tcMar>
              <w:top w:w="90" w:type="dxa"/>
              <w:start w:w="90" w:type="dxa"/>
              <w:bottom w:w="90" w:type="dxa"/>
              <w:end w:w="90" w:type="dxa"/>
            </w:tcMar>
            <w:shd w:fill="E8EEF7"/>
          </w:tcPr>
          <w:p>
            <w:r>
              <w:rPr>
                <w:rFonts w:ascii="Times New Roman" w:hAnsi="Times New Roman"/>
                <w:b/>
                <w:sz w:val="17"/>
              </w:rPr>
              <w:t>Thema</w:t>
            </w:r>
          </w:p>
        </w:tc>
        <w:tc>
          <w:tcPr>
            <w:tcW w:type="dxa" w:w="1933"/>
            <w:vAlign w:val="center"/>
            <w:tcMar>
              <w:top w:w="90" w:type="dxa"/>
              <w:start w:w="90" w:type="dxa"/>
              <w:bottom w:w="90" w:type="dxa"/>
              <w:end w:w="90" w:type="dxa"/>
            </w:tcMar>
            <w:shd w:fill="E8EEF7"/>
          </w:tcPr>
          <w:p>
            <w:r>
              <w:rPr>
                <w:rFonts w:ascii="Times New Roman" w:hAnsi="Times New Roman"/>
                <w:b/>
                <w:sz w:val="17"/>
              </w:rPr>
              <w:t>Satzung 12.01.2024</w:t>
            </w:r>
          </w:p>
        </w:tc>
        <w:tc>
          <w:tcPr>
            <w:tcW w:type="dxa" w:w="1933"/>
            <w:vAlign w:val="center"/>
            <w:tcMar>
              <w:top w:w="90" w:type="dxa"/>
              <w:start w:w="90" w:type="dxa"/>
              <w:bottom w:w="90" w:type="dxa"/>
              <w:end w:w="90" w:type="dxa"/>
            </w:tcMar>
            <w:shd w:fill="E8EEF7"/>
          </w:tcPr>
          <w:p>
            <w:r>
              <w:rPr>
                <w:rFonts w:ascii="Times New Roman" w:hAnsi="Times New Roman"/>
                <w:b/>
                <w:sz w:val="17"/>
              </w:rPr>
              <w:t>Seed-SHA 12.01.2024</w:t>
            </w:r>
          </w:p>
        </w:tc>
        <w:tc>
          <w:tcPr>
            <w:tcW w:type="dxa" w:w="1933"/>
            <w:vAlign w:val="center"/>
            <w:tcMar>
              <w:top w:w="90" w:type="dxa"/>
              <w:start w:w="90" w:type="dxa"/>
              <w:bottom w:w="90" w:type="dxa"/>
              <w:end w:w="90" w:type="dxa"/>
            </w:tcMar>
            <w:shd w:fill="E8EEF7"/>
          </w:tcPr>
          <w:p>
            <w:r>
              <w:rPr>
                <w:rFonts w:ascii="Times New Roman" w:hAnsi="Times New Roman"/>
                <w:b/>
                <w:sz w:val="17"/>
              </w:rPr>
              <w:t>Term Sheet Series A (Datei 03)</w:t>
            </w:r>
          </w:p>
        </w:tc>
        <w:tc>
          <w:tcPr>
            <w:tcW w:type="dxa" w:w="1933"/>
            <w:vAlign w:val="center"/>
            <w:tcMar>
              <w:top w:w="90" w:type="dxa"/>
              <w:start w:w="90" w:type="dxa"/>
              <w:bottom w:w="90" w:type="dxa"/>
              <w:end w:w="90" w:type="dxa"/>
            </w:tcMar>
            <w:shd w:fill="E8EEF7"/>
          </w:tcPr>
          <w:p>
            <w:r>
              <w:rPr>
                <w:rFonts w:ascii="Times New Roman" w:hAnsi="Times New Roman"/>
                <w:b/>
                <w:sz w:val="17"/>
              </w:rPr>
              <w:t>Anpassungsbedarf</w:t>
            </w:r>
          </w:p>
        </w:tc>
      </w:tr>
      <w:tr>
        <w:tc>
          <w:tcPr>
            <w:tcW w:type="dxa" w:w="1933"/>
            <w:vAlign w:val="center"/>
            <w:tcMar>
              <w:top w:w="90" w:type="dxa"/>
              <w:start w:w="90" w:type="dxa"/>
              <w:bottom w:w="90" w:type="dxa"/>
              <w:end w:w="90" w:type="dxa"/>
            </w:tcMar>
          </w:tcPr>
          <w:p>
            <w:r>
              <w:rPr>
                <w:rFonts w:ascii="Times New Roman" w:hAnsi="Times New Roman"/>
                <w:sz w:val="17"/>
              </w:rPr>
              <w:t>Vinkulierung</w:t>
            </w:r>
          </w:p>
        </w:tc>
        <w:tc>
          <w:tcPr>
            <w:tcW w:type="dxa" w:w="1933"/>
            <w:vAlign w:val="center"/>
            <w:tcMar>
              <w:top w:w="90" w:type="dxa"/>
              <w:start w:w="90" w:type="dxa"/>
              <w:bottom w:w="90" w:type="dxa"/>
              <w:end w:w="90" w:type="dxa"/>
            </w:tcMar>
          </w:tcPr>
          <w:p>
            <w:r>
              <w:rPr>
                <w:rFonts w:ascii="Times New Roman" w:hAnsi="Times New Roman"/>
                <w:sz w:val="17"/>
              </w:rPr>
              <w:t>75 Prozent Gesellschafter</w:t>
            </w:r>
          </w:p>
        </w:tc>
        <w:tc>
          <w:tcPr>
            <w:tcW w:type="dxa" w:w="1933"/>
            <w:vAlign w:val="center"/>
            <w:tcMar>
              <w:top w:w="90" w:type="dxa"/>
              <w:start w:w="90" w:type="dxa"/>
              <w:bottom w:w="90" w:type="dxa"/>
              <w:end w:w="90" w:type="dxa"/>
            </w:tcMar>
          </w:tcPr>
          <w:p>
            <w:r>
              <w:rPr>
                <w:rFonts w:ascii="Times New Roman" w:hAnsi="Times New Roman"/>
                <w:sz w:val="17"/>
              </w:rPr>
              <w:t>Plus Stahlauge-Zustimmung</w:t>
            </w:r>
          </w:p>
        </w:tc>
        <w:tc>
          <w:tcPr>
            <w:tcW w:type="dxa" w:w="1933"/>
            <w:vAlign w:val="center"/>
            <w:tcMar>
              <w:top w:w="90" w:type="dxa"/>
              <w:start w:w="90" w:type="dxa"/>
              <w:bottom w:w="90" w:type="dxa"/>
              <w:end w:w="90" w:type="dxa"/>
            </w:tcMar>
          </w:tcPr>
          <w:p>
            <w:r>
              <w:rPr>
                <w:rFonts w:ascii="Times New Roman" w:hAnsi="Times New Roman"/>
                <w:sz w:val="17"/>
              </w:rPr>
              <w:t>"Series A Majority"</w:t>
            </w:r>
          </w:p>
        </w:tc>
        <w:tc>
          <w:tcPr>
            <w:tcW w:type="dxa" w:w="1933"/>
            <w:vAlign w:val="center"/>
            <w:tcMar>
              <w:top w:w="90" w:type="dxa"/>
              <w:start w:w="90" w:type="dxa"/>
              <w:bottom w:w="90" w:type="dxa"/>
              <w:end w:w="90" w:type="dxa"/>
            </w:tcMar>
          </w:tcPr>
          <w:p>
            <w:r>
              <w:rPr>
                <w:rFonts w:ascii="Times New Roman" w:hAnsi="Times New Roman"/>
                <w:sz w:val="17"/>
              </w:rPr>
              <w:t>Mehrheitserfordernisse harmonisieren; Stahlauge-Veto klären</w:t>
            </w:r>
          </w:p>
        </w:tc>
      </w:tr>
      <w:tr>
        <w:tc>
          <w:tcPr>
            <w:tcW w:type="dxa" w:w="1933"/>
            <w:vAlign w:val="center"/>
            <w:tcMar>
              <w:top w:w="90" w:type="dxa"/>
              <w:start w:w="90" w:type="dxa"/>
              <w:bottom w:w="90" w:type="dxa"/>
              <w:end w:w="90" w:type="dxa"/>
            </w:tcMar>
          </w:tcPr>
          <w:p>
            <w:r>
              <w:rPr>
                <w:rFonts w:ascii="Times New Roman" w:hAnsi="Times New Roman"/>
                <w:sz w:val="17"/>
              </w:rPr>
              <w:t>Vesting Cliff</w:t>
            </w:r>
          </w:p>
        </w:tc>
        <w:tc>
          <w:tcPr>
            <w:tcW w:type="dxa" w:w="1933"/>
            <w:vAlign w:val="center"/>
            <w:tcMar>
              <w:top w:w="90" w:type="dxa"/>
              <w:start w:w="90" w:type="dxa"/>
              <w:bottom w:w="90" w:type="dxa"/>
              <w:end w:w="90" w:type="dxa"/>
            </w:tcMar>
          </w:tcPr>
          <w:p>
            <w:r>
              <w:rPr>
                <w:rFonts w:ascii="Times New Roman" w:hAnsi="Times New Roman"/>
                <w:sz w:val="17"/>
              </w:rPr>
              <w:t>n/a</w:t>
            </w:r>
          </w:p>
        </w:tc>
        <w:tc>
          <w:tcPr>
            <w:tcW w:type="dxa" w:w="1933"/>
            <w:vAlign w:val="center"/>
            <w:tcMar>
              <w:top w:w="90" w:type="dxa"/>
              <w:start w:w="90" w:type="dxa"/>
              <w:bottom w:w="90" w:type="dxa"/>
              <w:end w:w="90" w:type="dxa"/>
            </w:tcMar>
          </w:tcPr>
          <w:p>
            <w:r>
              <w:rPr>
                <w:rFonts w:ascii="Times New Roman" w:hAnsi="Times New Roman"/>
                <w:sz w:val="17"/>
              </w:rPr>
              <w:t>kein Cliff</w:t>
            </w:r>
          </w:p>
        </w:tc>
        <w:tc>
          <w:tcPr>
            <w:tcW w:type="dxa" w:w="1933"/>
            <w:vAlign w:val="center"/>
            <w:tcMar>
              <w:top w:w="90" w:type="dxa"/>
              <w:start w:w="90" w:type="dxa"/>
              <w:bottom w:w="90" w:type="dxa"/>
              <w:end w:w="90" w:type="dxa"/>
            </w:tcMar>
          </w:tcPr>
          <w:p>
            <w:r>
              <w:rPr>
                <w:rFonts w:ascii="Times New Roman" w:hAnsi="Times New Roman"/>
                <w:sz w:val="17"/>
              </w:rPr>
              <w:t>12 Monate Cliff</w:t>
            </w:r>
          </w:p>
        </w:tc>
        <w:tc>
          <w:tcPr>
            <w:tcW w:type="dxa" w:w="1933"/>
            <w:vAlign w:val="center"/>
            <w:tcMar>
              <w:top w:w="90" w:type="dxa"/>
              <w:start w:w="90" w:type="dxa"/>
              <w:bottom w:w="90" w:type="dxa"/>
              <w:end w:w="90" w:type="dxa"/>
            </w:tcMar>
          </w:tcPr>
          <w:p>
            <w:r>
              <w:rPr>
                <w:rFonts w:ascii="Times New Roman" w:hAnsi="Times New Roman"/>
                <w:sz w:val="17"/>
              </w:rPr>
              <w:t>Cliff für alte Anteile politisch heikel</w:t>
            </w:r>
          </w:p>
        </w:tc>
      </w:tr>
      <w:tr>
        <w:tc>
          <w:tcPr>
            <w:tcW w:type="dxa" w:w="1933"/>
            <w:vAlign w:val="center"/>
            <w:tcMar>
              <w:top w:w="90" w:type="dxa"/>
              <w:start w:w="90" w:type="dxa"/>
              <w:bottom w:w="90" w:type="dxa"/>
              <w:end w:w="90" w:type="dxa"/>
            </w:tcMar>
          </w:tcPr>
          <w:p>
            <w:r>
              <w:rPr>
                <w:rFonts w:ascii="Times New Roman" w:hAnsi="Times New Roman"/>
                <w:sz w:val="17"/>
              </w:rPr>
              <w:t>Vesting Dauer</w:t>
            </w:r>
          </w:p>
        </w:tc>
        <w:tc>
          <w:tcPr>
            <w:tcW w:type="dxa" w:w="1933"/>
            <w:vAlign w:val="center"/>
            <w:tcMar>
              <w:top w:w="90" w:type="dxa"/>
              <w:start w:w="90" w:type="dxa"/>
              <w:bottom w:w="90" w:type="dxa"/>
              <w:end w:w="90" w:type="dxa"/>
            </w:tcMar>
          </w:tcPr>
          <w:p>
            <w:r>
              <w:rPr>
                <w:rFonts w:ascii="Times New Roman" w:hAnsi="Times New Roman"/>
                <w:sz w:val="17"/>
              </w:rPr>
              <w:t>n/a</w:t>
            </w:r>
          </w:p>
        </w:tc>
        <w:tc>
          <w:tcPr>
            <w:tcW w:type="dxa" w:w="1933"/>
            <w:vAlign w:val="center"/>
            <w:tcMar>
              <w:top w:w="90" w:type="dxa"/>
              <w:start w:w="90" w:type="dxa"/>
              <w:bottom w:w="90" w:type="dxa"/>
              <w:end w:w="90" w:type="dxa"/>
            </w:tcMar>
          </w:tcPr>
          <w:p>
            <w:r>
              <w:rPr>
                <w:rFonts w:ascii="Times New Roman" w:hAnsi="Times New Roman"/>
                <w:sz w:val="17"/>
              </w:rPr>
              <w:t>36 Monate ab 01.01.2024</w:t>
            </w:r>
          </w:p>
        </w:tc>
        <w:tc>
          <w:tcPr>
            <w:tcW w:type="dxa" w:w="1933"/>
            <w:vAlign w:val="center"/>
            <w:tcMar>
              <w:top w:w="90" w:type="dxa"/>
              <w:start w:w="90" w:type="dxa"/>
              <w:bottom w:w="90" w:type="dxa"/>
              <w:end w:w="90" w:type="dxa"/>
            </w:tcMar>
          </w:tcPr>
          <w:p>
            <w:r>
              <w:rPr>
                <w:rFonts w:ascii="Times New Roman" w:hAnsi="Times New Roman"/>
                <w:sz w:val="17"/>
              </w:rPr>
              <w:t>48 Monate ab Closing</w:t>
            </w:r>
          </w:p>
        </w:tc>
        <w:tc>
          <w:tcPr>
            <w:tcW w:type="dxa" w:w="1933"/>
            <w:vAlign w:val="center"/>
            <w:tcMar>
              <w:top w:w="90" w:type="dxa"/>
              <w:start w:w="90" w:type="dxa"/>
              <w:bottom w:w="90" w:type="dxa"/>
              <w:end w:w="90" w:type="dxa"/>
            </w:tcMar>
          </w:tcPr>
          <w:p>
            <w:r>
              <w:rPr>
                <w:rFonts w:ascii="Times New Roman" w:hAnsi="Times New Roman"/>
                <w:sz w:val="17"/>
              </w:rPr>
              <w:t>Anrechnung Seed-Vesting verhandeln</w:t>
            </w:r>
          </w:p>
        </w:tc>
      </w:tr>
      <w:tr>
        <w:tc>
          <w:tcPr>
            <w:tcW w:type="dxa" w:w="1933"/>
            <w:vAlign w:val="center"/>
            <w:tcMar>
              <w:top w:w="90" w:type="dxa"/>
              <w:start w:w="90" w:type="dxa"/>
              <w:bottom w:w="90" w:type="dxa"/>
              <w:end w:w="90" w:type="dxa"/>
            </w:tcMar>
          </w:tcPr>
          <w:p>
            <w:r>
              <w:rPr>
                <w:rFonts w:ascii="Times New Roman" w:hAnsi="Times New Roman"/>
                <w:sz w:val="17"/>
              </w:rPr>
              <w:t>Vesting Reset</w:t>
            </w:r>
          </w:p>
        </w:tc>
        <w:tc>
          <w:tcPr>
            <w:tcW w:type="dxa" w:w="1933"/>
            <w:vAlign w:val="center"/>
            <w:tcMar>
              <w:top w:w="90" w:type="dxa"/>
              <w:start w:w="90" w:type="dxa"/>
              <w:bottom w:w="90" w:type="dxa"/>
              <w:end w:w="90" w:type="dxa"/>
            </w:tcMar>
          </w:tcPr>
          <w:p>
            <w:r>
              <w:rPr>
                <w:rFonts w:ascii="Times New Roman" w:hAnsi="Times New Roman"/>
                <w:sz w:val="17"/>
              </w:rPr>
              <w:t>n/a</w:t>
            </w:r>
          </w:p>
        </w:tc>
        <w:tc>
          <w:tcPr>
            <w:tcW w:type="dxa" w:w="1933"/>
            <w:vAlign w:val="center"/>
            <w:tcMar>
              <w:top w:w="90" w:type="dxa"/>
              <w:start w:w="90" w:type="dxa"/>
              <w:bottom w:w="90" w:type="dxa"/>
              <w:end w:w="90" w:type="dxa"/>
            </w:tcMar>
          </w:tcPr>
          <w:p>
            <w:r>
              <w:rPr>
                <w:rFonts w:ascii="Times New Roman" w:hAnsi="Times New Roman"/>
                <w:sz w:val="17"/>
              </w:rPr>
              <w:t>n/a</w:t>
            </w:r>
          </w:p>
        </w:tc>
        <w:tc>
          <w:tcPr>
            <w:tcW w:type="dxa" w:w="1933"/>
            <w:vAlign w:val="center"/>
            <w:tcMar>
              <w:top w:w="90" w:type="dxa"/>
              <w:start w:w="90" w:type="dxa"/>
              <w:bottom w:w="90" w:type="dxa"/>
              <w:end w:w="90" w:type="dxa"/>
            </w:tcMar>
          </w:tcPr>
          <w:p>
            <w:r>
              <w:rPr>
                <w:rFonts w:ascii="Times New Roman" w:hAnsi="Times New Roman"/>
                <w:sz w:val="17"/>
              </w:rPr>
              <w:t>impliziter Reset ab Closing</w:t>
            </w:r>
          </w:p>
        </w:tc>
        <w:tc>
          <w:tcPr>
            <w:tcW w:type="dxa" w:w="1933"/>
            <w:vAlign w:val="center"/>
            <w:tcMar>
              <w:top w:w="90" w:type="dxa"/>
              <w:start w:w="90" w:type="dxa"/>
              <w:bottom w:w="90" w:type="dxa"/>
              <w:end w:w="90" w:type="dxa"/>
            </w:tcMar>
          </w:tcPr>
          <w:p>
            <w:r>
              <w:rPr>
                <w:rFonts w:ascii="Times New Roman" w:hAnsi="Times New Roman"/>
                <w:sz w:val="17"/>
              </w:rPr>
              <w:t>Wirtschaftlich harter Reset; Partnerbriefing</w:t>
            </w:r>
          </w:p>
        </w:tc>
      </w:tr>
      <w:tr>
        <w:tc>
          <w:tcPr>
            <w:tcW w:type="dxa" w:w="1933"/>
            <w:vAlign w:val="center"/>
            <w:tcMar>
              <w:top w:w="90" w:type="dxa"/>
              <w:start w:w="90" w:type="dxa"/>
              <w:bottom w:w="90" w:type="dxa"/>
              <w:end w:w="90" w:type="dxa"/>
            </w:tcMar>
          </w:tcPr>
          <w:p>
            <w:r>
              <w:rPr>
                <w:rFonts w:ascii="Times New Roman" w:hAnsi="Times New Roman"/>
                <w:sz w:val="17"/>
              </w:rPr>
              <w:t>Bad Leaver Call</w:t>
            </w:r>
          </w:p>
        </w:tc>
        <w:tc>
          <w:tcPr>
            <w:tcW w:type="dxa" w:w="1933"/>
            <w:vAlign w:val="center"/>
            <w:tcMar>
              <w:top w:w="90" w:type="dxa"/>
              <w:start w:w="90" w:type="dxa"/>
              <w:bottom w:w="90" w:type="dxa"/>
              <w:end w:w="90" w:type="dxa"/>
            </w:tcMar>
          </w:tcPr>
          <w:p>
            <w:r>
              <w:rPr>
                <w:rFonts w:ascii="Times New Roman" w:hAnsi="Times New Roman"/>
                <w:sz w:val="17"/>
              </w:rPr>
              <w:t>n/a</w:t>
            </w:r>
          </w:p>
        </w:tc>
        <w:tc>
          <w:tcPr>
            <w:tcW w:type="dxa" w:w="1933"/>
            <w:vAlign w:val="center"/>
            <w:tcMar>
              <w:top w:w="90" w:type="dxa"/>
              <w:start w:w="90" w:type="dxa"/>
              <w:bottom w:w="90" w:type="dxa"/>
              <w:end w:w="90" w:type="dxa"/>
            </w:tcMar>
          </w:tcPr>
          <w:p>
            <w:r>
              <w:rPr>
                <w:rFonts w:ascii="Times New Roman" w:hAnsi="Times New Roman"/>
                <w:sz w:val="17"/>
              </w:rPr>
              <w:t>Nennwert auf 100 Prozent unvested + 50 Prozent vested</w:t>
            </w:r>
          </w:p>
        </w:tc>
        <w:tc>
          <w:tcPr>
            <w:tcW w:type="dxa" w:w="1933"/>
            <w:vAlign w:val="center"/>
            <w:tcMar>
              <w:top w:w="90" w:type="dxa"/>
              <w:start w:w="90" w:type="dxa"/>
              <w:bottom w:w="90" w:type="dxa"/>
              <w:end w:w="90" w:type="dxa"/>
            </w:tcMar>
          </w:tcPr>
          <w:p>
            <w:r>
              <w:rPr>
                <w:rFonts w:ascii="Times New Roman" w:hAnsi="Times New Roman"/>
                <w:sz w:val="17"/>
              </w:rPr>
              <w:t>Nennwert auf 100 Prozent unvested + Option auf vested</w:t>
            </w:r>
          </w:p>
        </w:tc>
        <w:tc>
          <w:tcPr>
            <w:tcW w:type="dxa" w:w="1933"/>
            <w:vAlign w:val="center"/>
            <w:tcMar>
              <w:top w:w="90" w:type="dxa"/>
              <w:start w:w="90" w:type="dxa"/>
              <w:bottom w:w="90" w:type="dxa"/>
              <w:end w:w="90" w:type="dxa"/>
            </w:tcMar>
          </w:tcPr>
          <w:p>
            <w:r>
              <w:rPr>
                <w:rFonts w:ascii="Times New Roman" w:hAnsi="Times New Roman"/>
                <w:sz w:val="17"/>
              </w:rPr>
              <w:t>Schwellen abstimmen</w:t>
            </w:r>
          </w:p>
        </w:tc>
      </w:tr>
      <w:tr>
        <w:tc>
          <w:tcPr>
            <w:tcW w:type="dxa" w:w="1933"/>
            <w:vAlign w:val="center"/>
            <w:tcMar>
              <w:top w:w="90" w:type="dxa"/>
              <w:start w:w="90" w:type="dxa"/>
              <w:bottom w:w="90" w:type="dxa"/>
              <w:end w:w="90" w:type="dxa"/>
            </w:tcMar>
          </w:tcPr>
          <w:p>
            <w:r>
              <w:rPr>
                <w:rFonts w:ascii="Times New Roman" w:hAnsi="Times New Roman"/>
                <w:sz w:val="17"/>
              </w:rPr>
              <w:t>Good Leaver Call</w:t>
            </w:r>
          </w:p>
        </w:tc>
        <w:tc>
          <w:tcPr>
            <w:tcW w:type="dxa" w:w="1933"/>
            <w:vAlign w:val="center"/>
            <w:tcMar>
              <w:top w:w="90" w:type="dxa"/>
              <w:start w:w="90" w:type="dxa"/>
              <w:bottom w:w="90" w:type="dxa"/>
              <w:end w:w="90" w:type="dxa"/>
            </w:tcMar>
          </w:tcPr>
          <w:p>
            <w:r>
              <w:rPr>
                <w:rFonts w:ascii="Times New Roman" w:hAnsi="Times New Roman"/>
                <w:sz w:val="17"/>
              </w:rPr>
              <w:t>n/a</w:t>
            </w:r>
          </w:p>
        </w:tc>
        <w:tc>
          <w:tcPr>
            <w:tcW w:type="dxa" w:w="1933"/>
            <w:vAlign w:val="center"/>
            <w:tcMar>
              <w:top w:w="90" w:type="dxa"/>
              <w:start w:w="90" w:type="dxa"/>
              <w:bottom w:w="90" w:type="dxa"/>
              <w:end w:w="90" w:type="dxa"/>
            </w:tcMar>
          </w:tcPr>
          <w:p>
            <w:r>
              <w:rPr>
                <w:rFonts w:ascii="Times New Roman" w:hAnsi="Times New Roman"/>
                <w:sz w:val="17"/>
              </w:rPr>
              <w:t>Verkehrswert auf vested</w:t>
            </w:r>
          </w:p>
        </w:tc>
        <w:tc>
          <w:tcPr>
            <w:tcW w:type="dxa" w:w="1933"/>
            <w:vAlign w:val="center"/>
            <w:tcMar>
              <w:top w:w="90" w:type="dxa"/>
              <w:start w:w="90" w:type="dxa"/>
              <w:bottom w:w="90" w:type="dxa"/>
              <w:end w:w="90" w:type="dxa"/>
            </w:tcMar>
          </w:tcPr>
          <w:p>
            <w:r>
              <w:rPr>
                <w:rFonts w:ascii="Times New Roman" w:hAnsi="Times New Roman"/>
                <w:sz w:val="17"/>
              </w:rPr>
              <w:t>Verkehrswert auf vested</w:t>
            </w:r>
          </w:p>
        </w:tc>
        <w:tc>
          <w:tcPr>
            <w:tcW w:type="dxa" w:w="1933"/>
            <w:vAlign w:val="center"/>
            <w:tcMar>
              <w:top w:w="90" w:type="dxa"/>
              <w:start w:w="90" w:type="dxa"/>
              <w:bottom w:w="90" w:type="dxa"/>
              <w:end w:w="90" w:type="dxa"/>
            </w:tcMar>
          </w:tcPr>
          <w:p>
            <w:r>
              <w:rPr>
                <w:rFonts w:ascii="Times New Roman" w:hAnsi="Times New Roman"/>
                <w:sz w:val="17"/>
              </w:rPr>
              <w:t>konsistent</w:t>
            </w:r>
          </w:p>
        </w:tc>
      </w:tr>
      <w:tr>
        <w:tc>
          <w:tcPr>
            <w:tcW w:type="dxa" w:w="1933"/>
            <w:vAlign w:val="center"/>
            <w:tcMar>
              <w:top w:w="90" w:type="dxa"/>
              <w:start w:w="90" w:type="dxa"/>
              <w:bottom w:w="90" w:type="dxa"/>
              <w:end w:w="90" w:type="dxa"/>
            </w:tcMar>
          </w:tcPr>
          <w:p>
            <w:r>
              <w:rPr>
                <w:rFonts w:ascii="Times New Roman" w:hAnsi="Times New Roman"/>
                <w:sz w:val="17"/>
              </w:rPr>
              <w:t>Drag-Along</w:t>
            </w:r>
          </w:p>
        </w:tc>
        <w:tc>
          <w:tcPr>
            <w:tcW w:type="dxa" w:w="1933"/>
            <w:vAlign w:val="center"/>
            <w:tcMar>
              <w:top w:w="90" w:type="dxa"/>
              <w:start w:w="90" w:type="dxa"/>
              <w:bottom w:w="90" w:type="dxa"/>
              <w:end w:w="90" w:type="dxa"/>
            </w:tcMar>
          </w:tcPr>
          <w:p>
            <w:r>
              <w:rPr>
                <w:rFonts w:ascii="Times New Roman" w:hAnsi="Times New Roman"/>
                <w:sz w:val="17"/>
              </w:rPr>
              <w:t>n/a</w:t>
            </w:r>
          </w:p>
        </w:tc>
        <w:tc>
          <w:tcPr>
            <w:tcW w:type="dxa" w:w="1933"/>
            <w:vAlign w:val="center"/>
            <w:tcMar>
              <w:top w:w="90" w:type="dxa"/>
              <w:start w:w="90" w:type="dxa"/>
              <w:bottom w:w="90" w:type="dxa"/>
              <w:end w:w="90" w:type="dxa"/>
            </w:tcMar>
          </w:tcPr>
          <w:p>
            <w:r>
              <w:rPr>
                <w:rFonts w:ascii="Times New Roman" w:hAnsi="Times New Roman"/>
                <w:sz w:val="17"/>
              </w:rPr>
              <w:t>70 Prozent ohne Investor-Mehrheit</w:t>
            </w:r>
          </w:p>
        </w:tc>
        <w:tc>
          <w:tcPr>
            <w:tcW w:type="dxa" w:w="1933"/>
            <w:vAlign w:val="center"/>
            <w:tcMar>
              <w:top w:w="90" w:type="dxa"/>
              <w:start w:w="90" w:type="dxa"/>
              <w:bottom w:w="90" w:type="dxa"/>
              <w:end w:w="90" w:type="dxa"/>
            </w:tcMar>
          </w:tcPr>
          <w:p>
            <w:r>
              <w:rPr>
                <w:rFonts w:ascii="Times New Roman" w:hAnsi="Times New Roman"/>
                <w:sz w:val="17"/>
              </w:rPr>
              <w:t>60 Prozent plus Series A Majority</w:t>
            </w:r>
          </w:p>
        </w:tc>
        <w:tc>
          <w:tcPr>
            <w:tcW w:type="dxa" w:w="1933"/>
            <w:vAlign w:val="center"/>
            <w:tcMar>
              <w:top w:w="90" w:type="dxa"/>
              <w:start w:w="90" w:type="dxa"/>
              <w:bottom w:w="90" w:type="dxa"/>
              <w:end w:w="90" w:type="dxa"/>
            </w:tcMar>
          </w:tcPr>
          <w:p>
            <w:r>
              <w:rPr>
                <w:rFonts w:ascii="Times New Roman" w:hAnsi="Times New Roman"/>
                <w:sz w:val="17"/>
              </w:rPr>
              <w:t>Schwelle harmonisieren</w:t>
            </w:r>
          </w:p>
        </w:tc>
      </w:tr>
      <w:tr>
        <w:tc>
          <w:tcPr>
            <w:tcW w:type="dxa" w:w="1933"/>
            <w:vAlign w:val="center"/>
            <w:tcMar>
              <w:top w:w="90" w:type="dxa"/>
              <w:start w:w="90" w:type="dxa"/>
              <w:bottom w:w="90" w:type="dxa"/>
              <w:end w:w="90" w:type="dxa"/>
            </w:tcMar>
          </w:tcPr>
          <w:p>
            <w:r>
              <w:rPr>
                <w:rFonts w:ascii="Times New Roman" w:hAnsi="Times New Roman"/>
                <w:sz w:val="17"/>
              </w:rPr>
              <w:t>Tag-Along</w:t>
            </w:r>
          </w:p>
        </w:tc>
        <w:tc>
          <w:tcPr>
            <w:tcW w:type="dxa" w:w="1933"/>
            <w:vAlign w:val="center"/>
            <w:tcMar>
              <w:top w:w="90" w:type="dxa"/>
              <w:start w:w="90" w:type="dxa"/>
              <w:bottom w:w="90" w:type="dxa"/>
              <w:end w:w="90" w:type="dxa"/>
            </w:tcMar>
          </w:tcPr>
          <w:p>
            <w:r>
              <w:rPr>
                <w:rFonts w:ascii="Times New Roman" w:hAnsi="Times New Roman"/>
                <w:sz w:val="17"/>
              </w:rPr>
              <w:t>n/a</w:t>
            </w:r>
          </w:p>
        </w:tc>
        <w:tc>
          <w:tcPr>
            <w:tcW w:type="dxa" w:w="1933"/>
            <w:vAlign w:val="center"/>
            <w:tcMar>
              <w:top w:w="90" w:type="dxa"/>
              <w:start w:w="90" w:type="dxa"/>
              <w:bottom w:w="90" w:type="dxa"/>
              <w:end w:w="90" w:type="dxa"/>
            </w:tcMar>
          </w:tcPr>
          <w:p>
            <w:r>
              <w:rPr>
                <w:rFonts w:ascii="Times New Roman" w:hAnsi="Times New Roman"/>
                <w:sz w:val="17"/>
              </w:rPr>
              <w:t>Verkauf &gt; 30 Prozent durch Gründer</w:t>
            </w:r>
          </w:p>
        </w:tc>
        <w:tc>
          <w:tcPr>
            <w:tcW w:type="dxa" w:w="1933"/>
            <w:vAlign w:val="center"/>
            <w:tcMar>
              <w:top w:w="90" w:type="dxa"/>
              <w:start w:w="90" w:type="dxa"/>
              <w:bottom w:w="90" w:type="dxa"/>
              <w:end w:w="90" w:type="dxa"/>
            </w:tcMar>
          </w:tcPr>
          <w:p>
            <w:r>
              <w:rPr>
                <w:rFonts w:ascii="Times New Roman" w:hAnsi="Times New Roman"/>
                <w:sz w:val="17"/>
              </w:rPr>
              <w:t>Verkauf &gt; 5 Prozent durch jeden</w:t>
            </w:r>
          </w:p>
        </w:tc>
        <w:tc>
          <w:tcPr>
            <w:tcW w:type="dxa" w:w="1933"/>
            <w:vAlign w:val="center"/>
            <w:tcMar>
              <w:top w:w="90" w:type="dxa"/>
              <w:start w:w="90" w:type="dxa"/>
              <w:bottom w:w="90" w:type="dxa"/>
              <w:end w:w="90" w:type="dxa"/>
            </w:tcMar>
          </w:tcPr>
          <w:p>
            <w:r>
              <w:rPr>
                <w:rFonts w:ascii="Times New Roman" w:hAnsi="Times New Roman"/>
                <w:sz w:val="17"/>
              </w:rPr>
              <w:t>Schwellen anpassen</w:t>
            </w:r>
          </w:p>
        </w:tc>
      </w:tr>
      <w:tr>
        <w:tc>
          <w:tcPr>
            <w:tcW w:type="dxa" w:w="1933"/>
            <w:vAlign w:val="center"/>
            <w:tcMar>
              <w:top w:w="90" w:type="dxa"/>
              <w:start w:w="90" w:type="dxa"/>
              <w:bottom w:w="90" w:type="dxa"/>
              <w:end w:w="90" w:type="dxa"/>
            </w:tcMar>
          </w:tcPr>
          <w:p>
            <w:r>
              <w:rPr>
                <w:rFonts w:ascii="Times New Roman" w:hAnsi="Times New Roman"/>
                <w:sz w:val="17"/>
              </w:rPr>
              <w:t>Liquidation Pref</w:t>
            </w:r>
          </w:p>
        </w:tc>
        <w:tc>
          <w:tcPr>
            <w:tcW w:type="dxa" w:w="1933"/>
            <w:vAlign w:val="center"/>
            <w:tcMar>
              <w:top w:w="90" w:type="dxa"/>
              <w:start w:w="90" w:type="dxa"/>
              <w:bottom w:w="90" w:type="dxa"/>
              <w:end w:w="90" w:type="dxa"/>
            </w:tcMar>
          </w:tcPr>
          <w:p>
            <w:r>
              <w:rPr>
                <w:rFonts w:ascii="Times New Roman" w:hAnsi="Times New Roman"/>
                <w:sz w:val="17"/>
              </w:rPr>
              <w:t>n/a</w:t>
            </w:r>
          </w:p>
        </w:tc>
        <w:tc>
          <w:tcPr>
            <w:tcW w:type="dxa" w:w="1933"/>
            <w:vAlign w:val="center"/>
            <w:tcMar>
              <w:top w:w="90" w:type="dxa"/>
              <w:start w:w="90" w:type="dxa"/>
              <w:bottom w:w="90" w:type="dxa"/>
              <w:end w:w="90" w:type="dxa"/>
            </w:tcMar>
          </w:tcPr>
          <w:p>
            <w:r>
              <w:rPr>
                <w:rFonts w:ascii="Times New Roman" w:hAnsi="Times New Roman"/>
                <w:sz w:val="17"/>
              </w:rPr>
              <w:t>1x non-participating Seed</w:t>
            </w:r>
          </w:p>
        </w:tc>
        <w:tc>
          <w:tcPr>
            <w:tcW w:type="dxa" w:w="1933"/>
            <w:vAlign w:val="center"/>
            <w:tcMar>
              <w:top w:w="90" w:type="dxa"/>
              <w:start w:w="90" w:type="dxa"/>
              <w:bottom w:w="90" w:type="dxa"/>
              <w:end w:w="90" w:type="dxa"/>
            </w:tcMar>
          </w:tcPr>
          <w:p>
            <w:r>
              <w:rPr>
                <w:rFonts w:ascii="Times New Roman" w:hAnsi="Times New Roman"/>
                <w:sz w:val="17"/>
              </w:rPr>
              <w:t>1x non-participating Series A; "higher of"</w:t>
            </w:r>
          </w:p>
        </w:tc>
        <w:tc>
          <w:tcPr>
            <w:tcW w:type="dxa" w:w="1933"/>
            <w:vAlign w:val="center"/>
            <w:tcMar>
              <w:top w:w="90" w:type="dxa"/>
              <w:start w:w="90" w:type="dxa"/>
              <w:bottom w:w="90" w:type="dxa"/>
              <w:end w:w="90" w:type="dxa"/>
            </w:tcMar>
          </w:tcPr>
          <w:p>
            <w:r>
              <w:rPr>
                <w:rFonts w:ascii="Times New Roman" w:hAnsi="Times New Roman"/>
                <w:sz w:val="17"/>
              </w:rPr>
              <w:t>Stack klären: pari passu oder Senior</w:t>
            </w:r>
          </w:p>
        </w:tc>
      </w:tr>
      <w:tr>
        <w:tc>
          <w:tcPr>
            <w:tcW w:type="dxa" w:w="1933"/>
            <w:vAlign w:val="center"/>
            <w:tcMar>
              <w:top w:w="90" w:type="dxa"/>
              <w:start w:w="90" w:type="dxa"/>
              <w:bottom w:w="90" w:type="dxa"/>
              <w:end w:w="90" w:type="dxa"/>
            </w:tcMar>
          </w:tcPr>
          <w:p>
            <w:r>
              <w:rPr>
                <w:rFonts w:ascii="Times New Roman" w:hAnsi="Times New Roman"/>
                <w:sz w:val="17"/>
              </w:rPr>
              <w:t>Anti-Dilution</w:t>
            </w:r>
          </w:p>
        </w:tc>
        <w:tc>
          <w:tcPr>
            <w:tcW w:type="dxa" w:w="1933"/>
            <w:vAlign w:val="center"/>
            <w:tcMar>
              <w:top w:w="90" w:type="dxa"/>
              <w:start w:w="90" w:type="dxa"/>
              <w:bottom w:w="90" w:type="dxa"/>
              <w:end w:w="90" w:type="dxa"/>
            </w:tcMar>
          </w:tcPr>
          <w:p>
            <w:r>
              <w:rPr>
                <w:rFonts w:ascii="Times New Roman" w:hAnsi="Times New Roman"/>
                <w:sz w:val="17"/>
              </w:rPr>
              <w:t>n/a</w:t>
            </w:r>
          </w:p>
        </w:tc>
        <w:tc>
          <w:tcPr>
            <w:tcW w:type="dxa" w:w="1933"/>
            <w:vAlign w:val="center"/>
            <w:tcMar>
              <w:top w:w="90" w:type="dxa"/>
              <w:start w:w="90" w:type="dxa"/>
              <w:bottom w:w="90" w:type="dxa"/>
              <w:end w:w="90" w:type="dxa"/>
            </w:tcMar>
          </w:tcPr>
          <w:p>
            <w:r>
              <w:rPr>
                <w:rFonts w:ascii="Times New Roman" w:hAnsi="Times New Roman"/>
                <w:sz w:val="17"/>
              </w:rPr>
              <w:t>keine</w:t>
            </w:r>
          </w:p>
        </w:tc>
        <w:tc>
          <w:tcPr>
            <w:tcW w:type="dxa" w:w="1933"/>
            <w:vAlign w:val="center"/>
            <w:tcMar>
              <w:top w:w="90" w:type="dxa"/>
              <w:start w:w="90" w:type="dxa"/>
              <w:bottom w:w="90" w:type="dxa"/>
              <w:end w:w="90" w:type="dxa"/>
            </w:tcMar>
          </w:tcPr>
          <w:p>
            <w:r>
              <w:rPr>
                <w:rFonts w:ascii="Times New Roman" w:hAnsi="Times New Roman"/>
                <w:sz w:val="17"/>
              </w:rPr>
              <w:t>broad-based weighted average</w:t>
            </w:r>
          </w:p>
        </w:tc>
        <w:tc>
          <w:tcPr>
            <w:tcW w:type="dxa" w:w="1933"/>
            <w:vAlign w:val="center"/>
            <w:tcMar>
              <w:top w:w="90" w:type="dxa"/>
              <w:start w:w="90" w:type="dxa"/>
              <w:bottom w:w="90" w:type="dxa"/>
              <w:end w:w="90" w:type="dxa"/>
            </w:tcMar>
          </w:tcPr>
          <w:p>
            <w:r>
              <w:rPr>
                <w:rFonts w:ascii="Times New Roman" w:hAnsi="Times New Roman"/>
                <w:sz w:val="17"/>
              </w:rPr>
              <w:t>neu in Satzung implementieren</w:t>
            </w:r>
          </w:p>
        </w:tc>
      </w:tr>
      <w:tr>
        <w:tc>
          <w:tcPr>
            <w:tcW w:type="dxa" w:w="1933"/>
            <w:vAlign w:val="center"/>
            <w:tcMar>
              <w:top w:w="90" w:type="dxa"/>
              <w:start w:w="90" w:type="dxa"/>
              <w:bottom w:w="90" w:type="dxa"/>
              <w:end w:w="90" w:type="dxa"/>
            </w:tcMar>
          </w:tcPr>
          <w:p>
            <w:r>
              <w:rPr>
                <w:rFonts w:ascii="Times New Roman" w:hAnsi="Times New Roman"/>
                <w:sz w:val="17"/>
              </w:rPr>
              <w:t>Beirat</w:t>
            </w:r>
          </w:p>
        </w:tc>
        <w:tc>
          <w:tcPr>
            <w:tcW w:type="dxa" w:w="1933"/>
            <w:vAlign w:val="center"/>
            <w:tcMar>
              <w:top w:w="90" w:type="dxa"/>
              <w:start w:w="90" w:type="dxa"/>
              <w:bottom w:w="90" w:type="dxa"/>
              <w:end w:w="90" w:type="dxa"/>
            </w:tcMar>
          </w:tcPr>
          <w:p>
            <w:r>
              <w:rPr>
                <w:rFonts w:ascii="Times New Roman" w:hAnsi="Times New Roman"/>
                <w:sz w:val="17"/>
              </w:rPr>
              <w:t>"kann eingerichtet werden" (§ 11 Satzung)</w:t>
            </w:r>
          </w:p>
        </w:tc>
        <w:tc>
          <w:tcPr>
            <w:tcW w:type="dxa" w:w="1933"/>
            <w:vAlign w:val="center"/>
            <w:tcMar>
              <w:top w:w="90" w:type="dxa"/>
              <w:start w:w="90" w:type="dxa"/>
              <w:bottom w:w="90" w:type="dxa"/>
              <w:end w:w="90" w:type="dxa"/>
            </w:tcMar>
          </w:tcPr>
          <w:p>
            <w:r>
              <w:rPr>
                <w:rFonts w:ascii="Times New Roman" w:hAnsi="Times New Roman"/>
                <w:sz w:val="17"/>
              </w:rPr>
              <w:t>nicht geregelt</w:t>
            </w:r>
          </w:p>
        </w:tc>
        <w:tc>
          <w:tcPr>
            <w:tcW w:type="dxa" w:w="1933"/>
            <w:vAlign w:val="center"/>
            <w:tcMar>
              <w:top w:w="90" w:type="dxa"/>
              <w:start w:w="90" w:type="dxa"/>
              <w:bottom w:w="90" w:type="dxa"/>
              <w:end w:w="90" w:type="dxa"/>
            </w:tcMar>
          </w:tcPr>
          <w:p>
            <w:r>
              <w:rPr>
                <w:rFonts w:ascii="Times New Roman" w:hAnsi="Times New Roman"/>
                <w:sz w:val="17"/>
              </w:rPr>
              <w:t>5 Mitglieder, Investor Director, Reserved Matters</w:t>
            </w:r>
          </w:p>
        </w:tc>
        <w:tc>
          <w:tcPr>
            <w:tcW w:type="dxa" w:w="1933"/>
            <w:vAlign w:val="center"/>
            <w:tcMar>
              <w:top w:w="90" w:type="dxa"/>
              <w:start w:w="90" w:type="dxa"/>
              <w:bottom w:w="90" w:type="dxa"/>
              <w:end w:w="90" w:type="dxa"/>
            </w:tcMar>
          </w:tcPr>
          <w:p>
            <w:r>
              <w:rPr>
                <w:rFonts w:ascii="Times New Roman" w:hAnsi="Times New Roman"/>
                <w:sz w:val="17"/>
              </w:rPr>
              <w:t>Satzung &amp; Geschäftsordnung neu schreiben</w:t>
            </w:r>
          </w:p>
        </w:tc>
      </w:tr>
      <w:tr>
        <w:tc>
          <w:tcPr>
            <w:tcW w:type="dxa" w:w="1933"/>
            <w:vAlign w:val="center"/>
            <w:tcMar>
              <w:top w:w="90" w:type="dxa"/>
              <w:start w:w="90" w:type="dxa"/>
              <w:bottom w:w="90" w:type="dxa"/>
              <w:end w:w="90" w:type="dxa"/>
            </w:tcMar>
          </w:tcPr>
          <w:p>
            <w:r>
              <w:rPr>
                <w:rFonts w:ascii="Times New Roman" w:hAnsi="Times New Roman"/>
                <w:sz w:val="17"/>
              </w:rPr>
              <w:t>Wettbewerbsverbot</w:t>
            </w:r>
          </w:p>
        </w:tc>
        <w:tc>
          <w:tcPr>
            <w:tcW w:type="dxa" w:w="1933"/>
            <w:vAlign w:val="center"/>
            <w:tcMar>
              <w:top w:w="90" w:type="dxa"/>
              <w:start w:w="90" w:type="dxa"/>
              <w:bottom w:w="90" w:type="dxa"/>
              <w:end w:w="90" w:type="dxa"/>
            </w:tcMar>
          </w:tcPr>
          <w:p>
            <w:r>
              <w:rPr>
                <w:rFonts w:ascii="Times New Roman" w:hAnsi="Times New Roman"/>
                <w:sz w:val="17"/>
              </w:rPr>
              <w:t>n/a</w:t>
            </w:r>
          </w:p>
        </w:tc>
        <w:tc>
          <w:tcPr>
            <w:tcW w:type="dxa" w:w="1933"/>
            <w:vAlign w:val="center"/>
            <w:tcMar>
              <w:top w:w="90" w:type="dxa"/>
              <w:start w:w="90" w:type="dxa"/>
              <w:bottom w:w="90" w:type="dxa"/>
              <w:end w:w="90" w:type="dxa"/>
            </w:tcMar>
          </w:tcPr>
          <w:p>
            <w:r>
              <w:rPr>
                <w:rFonts w:ascii="Times New Roman" w:hAnsi="Times New Roman"/>
                <w:sz w:val="17"/>
              </w:rPr>
              <w:t>12 Monate</w:t>
            </w:r>
          </w:p>
        </w:tc>
        <w:tc>
          <w:tcPr>
            <w:tcW w:type="dxa" w:w="1933"/>
            <w:vAlign w:val="center"/>
            <w:tcMar>
              <w:top w:w="90" w:type="dxa"/>
              <w:start w:w="90" w:type="dxa"/>
              <w:bottom w:w="90" w:type="dxa"/>
              <w:end w:w="90" w:type="dxa"/>
            </w:tcMar>
          </w:tcPr>
          <w:p>
            <w:r>
              <w:rPr>
                <w:rFonts w:ascii="Times New Roman" w:hAnsi="Times New Roman"/>
                <w:sz w:val="17"/>
              </w:rPr>
              <w:t>24 Monate</w:t>
            </w:r>
          </w:p>
        </w:tc>
        <w:tc>
          <w:tcPr>
            <w:tcW w:type="dxa" w:w="1933"/>
            <w:vAlign w:val="center"/>
            <w:tcMar>
              <w:top w:w="90" w:type="dxa"/>
              <w:start w:w="90" w:type="dxa"/>
              <w:bottom w:w="90" w:type="dxa"/>
              <w:end w:w="90" w:type="dxa"/>
            </w:tcMar>
          </w:tcPr>
          <w:p>
            <w:r>
              <w:rPr>
                <w:rFonts w:ascii="Times New Roman" w:hAnsi="Times New Roman"/>
                <w:sz w:val="17"/>
              </w:rPr>
              <w:t>Wirksamkeitsrisiko § 110 HGB analog/BGH-Rspr. zu GF-Wettbewerbsverboten</w:t>
            </w:r>
          </w:p>
        </w:tc>
      </w:tr>
      <w:tr>
        <w:tc>
          <w:tcPr>
            <w:tcW w:type="dxa" w:w="1933"/>
            <w:vAlign w:val="center"/>
            <w:tcMar>
              <w:top w:w="90" w:type="dxa"/>
              <w:start w:w="90" w:type="dxa"/>
              <w:bottom w:w="90" w:type="dxa"/>
              <w:end w:w="90" w:type="dxa"/>
            </w:tcMar>
          </w:tcPr>
          <w:p>
            <w:r>
              <w:rPr>
                <w:rFonts w:ascii="Times New Roman" w:hAnsi="Times New Roman"/>
                <w:sz w:val="17"/>
              </w:rPr>
              <w:t>Information Rights</w:t>
            </w:r>
          </w:p>
        </w:tc>
        <w:tc>
          <w:tcPr>
            <w:tcW w:type="dxa" w:w="1933"/>
            <w:vAlign w:val="center"/>
            <w:tcMar>
              <w:top w:w="90" w:type="dxa"/>
              <w:start w:w="90" w:type="dxa"/>
              <w:bottom w:w="90" w:type="dxa"/>
              <w:end w:w="90" w:type="dxa"/>
            </w:tcMar>
          </w:tcPr>
          <w:p>
            <w:r>
              <w:rPr>
                <w:rFonts w:ascii="Times New Roman" w:hAnsi="Times New Roman"/>
                <w:sz w:val="17"/>
              </w:rPr>
              <w:t>n/a</w:t>
            </w:r>
          </w:p>
        </w:tc>
        <w:tc>
          <w:tcPr>
            <w:tcW w:type="dxa" w:w="1933"/>
            <w:vAlign w:val="center"/>
            <w:tcMar>
              <w:top w:w="90" w:type="dxa"/>
              <w:start w:w="90" w:type="dxa"/>
              <w:bottom w:w="90" w:type="dxa"/>
              <w:end w:w="90" w:type="dxa"/>
            </w:tcMar>
          </w:tcPr>
          <w:p>
            <w:r>
              <w:rPr>
                <w:rFonts w:ascii="Times New Roman" w:hAnsi="Times New Roman"/>
                <w:sz w:val="17"/>
              </w:rPr>
              <w:t>Stahlauge nur</w:t>
            </w:r>
          </w:p>
        </w:tc>
        <w:tc>
          <w:tcPr>
            <w:tcW w:type="dxa" w:w="1933"/>
            <w:vAlign w:val="center"/>
            <w:tcMar>
              <w:top w:w="90" w:type="dxa"/>
              <w:start w:w="90" w:type="dxa"/>
              <w:bottom w:w="90" w:type="dxa"/>
              <w:end w:w="90" w:type="dxa"/>
            </w:tcMar>
          </w:tcPr>
          <w:p>
            <w:r>
              <w:rPr>
                <w:rFonts w:ascii="Times New Roman" w:hAnsi="Times New Roman"/>
                <w:sz w:val="17"/>
              </w:rPr>
              <w:t>Series A plus Stahlauge (MFN aus Side Letter)</w:t>
            </w:r>
          </w:p>
        </w:tc>
        <w:tc>
          <w:tcPr>
            <w:tcW w:type="dxa" w:w="1933"/>
            <w:vAlign w:val="center"/>
            <w:tcMar>
              <w:top w:w="90" w:type="dxa"/>
              <w:start w:w="90" w:type="dxa"/>
              <w:bottom w:w="90" w:type="dxa"/>
              <w:end w:w="90" w:type="dxa"/>
            </w:tcMar>
          </w:tcPr>
          <w:p>
            <w:r>
              <w:rPr>
                <w:rFonts w:ascii="Times New Roman" w:hAnsi="Times New Roman"/>
                <w:sz w:val="17"/>
              </w:rPr>
              <w:t>konsistente Reports</w:t>
            </w:r>
          </w:p>
        </w:tc>
      </w:tr>
      <w:tr>
        <w:tc>
          <w:tcPr>
            <w:tcW w:type="dxa" w:w="1933"/>
            <w:vAlign w:val="center"/>
            <w:tcMar>
              <w:top w:w="90" w:type="dxa"/>
              <w:start w:w="90" w:type="dxa"/>
              <w:bottom w:w="90" w:type="dxa"/>
              <w:end w:w="90" w:type="dxa"/>
            </w:tcMar>
          </w:tcPr>
          <w:p>
            <w:r>
              <w:rPr>
                <w:rFonts w:ascii="Times New Roman" w:hAnsi="Times New Roman"/>
                <w:sz w:val="17"/>
              </w:rPr>
              <w:t>Kosten der Investoren</w:t>
            </w:r>
          </w:p>
        </w:tc>
        <w:tc>
          <w:tcPr>
            <w:tcW w:type="dxa" w:w="1933"/>
            <w:vAlign w:val="center"/>
            <w:tcMar>
              <w:top w:w="90" w:type="dxa"/>
              <w:start w:w="90" w:type="dxa"/>
              <w:bottom w:w="90" w:type="dxa"/>
              <w:end w:w="90" w:type="dxa"/>
            </w:tcMar>
          </w:tcPr>
          <w:p>
            <w:r>
              <w:rPr>
                <w:rFonts w:ascii="Times New Roman" w:hAnsi="Times New Roman"/>
                <w:sz w:val="17"/>
              </w:rPr>
              <w:t>n/a</w:t>
            </w:r>
          </w:p>
        </w:tc>
        <w:tc>
          <w:tcPr>
            <w:tcW w:type="dxa" w:w="1933"/>
            <w:vAlign w:val="center"/>
            <w:tcMar>
              <w:top w:w="90" w:type="dxa"/>
              <w:start w:w="90" w:type="dxa"/>
              <w:bottom w:w="90" w:type="dxa"/>
              <w:end w:w="90" w:type="dxa"/>
            </w:tcMar>
          </w:tcPr>
          <w:p>
            <w:r>
              <w:rPr>
                <w:rFonts w:ascii="Times New Roman" w:hAnsi="Times New Roman"/>
                <w:sz w:val="17"/>
              </w:rPr>
              <w:t>n/a</w:t>
            </w:r>
          </w:p>
        </w:tc>
        <w:tc>
          <w:tcPr>
            <w:tcW w:type="dxa" w:w="1933"/>
            <w:vAlign w:val="center"/>
            <w:tcMar>
              <w:top w:w="90" w:type="dxa"/>
              <w:start w:w="90" w:type="dxa"/>
              <w:bottom w:w="90" w:type="dxa"/>
              <w:end w:w="90" w:type="dxa"/>
            </w:tcMar>
          </w:tcPr>
          <w:p>
            <w:r>
              <w:rPr>
                <w:rFonts w:ascii="Times New Roman" w:hAnsi="Times New Roman"/>
                <w:sz w:val="17"/>
              </w:rPr>
              <w:t>Cap EUR 90.000 plus VAT, ggf. EUR 45.000</w:t>
            </w:r>
          </w:p>
        </w:tc>
        <w:tc>
          <w:tcPr>
            <w:tcW w:type="dxa" w:w="1933"/>
            <w:vAlign w:val="center"/>
            <w:tcMar>
              <w:top w:w="90" w:type="dxa"/>
              <w:start w:w="90" w:type="dxa"/>
              <w:bottom w:w="90" w:type="dxa"/>
              <w:end w:w="90" w:type="dxa"/>
            </w:tcMar>
          </w:tcPr>
          <w:p>
            <w:r>
              <w:rPr>
                <w:rFonts w:ascii="Times New Roman" w:hAnsi="Times New Roman"/>
                <w:sz w:val="17"/>
              </w:rPr>
              <w:t>neu</w:t>
            </w:r>
          </w:p>
        </w:tc>
      </w:tr>
      <w:tr>
        <w:tc>
          <w:tcPr>
            <w:tcW w:type="dxa" w:w="1933"/>
            <w:vAlign w:val="center"/>
            <w:tcMar>
              <w:top w:w="90" w:type="dxa"/>
              <w:start w:w="90" w:type="dxa"/>
              <w:bottom w:w="90" w:type="dxa"/>
              <w:end w:w="90" w:type="dxa"/>
            </w:tcMar>
          </w:tcPr>
          <w:p>
            <w:r>
              <w:rPr>
                <w:rFonts w:ascii="Times New Roman" w:hAnsi="Times New Roman"/>
                <w:sz w:val="17"/>
              </w:rPr>
              <w:t>Closing-Bedingungen</w:t>
            </w:r>
          </w:p>
        </w:tc>
        <w:tc>
          <w:tcPr>
            <w:tcW w:type="dxa" w:w="1933"/>
            <w:vAlign w:val="center"/>
            <w:tcMar>
              <w:top w:w="90" w:type="dxa"/>
              <w:start w:w="90" w:type="dxa"/>
              <w:bottom w:w="90" w:type="dxa"/>
              <w:end w:w="90" w:type="dxa"/>
            </w:tcMar>
          </w:tcPr>
          <w:p>
            <w:r>
              <w:rPr>
                <w:rFonts w:ascii="Times New Roman" w:hAnsi="Times New Roman"/>
                <w:sz w:val="17"/>
              </w:rPr>
              <w:t>n/a</w:t>
            </w:r>
          </w:p>
        </w:tc>
        <w:tc>
          <w:tcPr>
            <w:tcW w:type="dxa" w:w="1933"/>
            <w:vAlign w:val="center"/>
            <w:tcMar>
              <w:top w:w="90" w:type="dxa"/>
              <w:start w:w="90" w:type="dxa"/>
              <w:bottom w:w="90" w:type="dxa"/>
              <w:end w:w="90" w:type="dxa"/>
            </w:tcMar>
          </w:tcPr>
          <w:p>
            <w:r>
              <w:rPr>
                <w:rFonts w:ascii="Times New Roman" w:hAnsi="Times New Roman"/>
                <w:sz w:val="17"/>
              </w:rPr>
              <w:t>n/a</w:t>
            </w:r>
          </w:p>
        </w:tc>
        <w:tc>
          <w:tcPr>
            <w:tcW w:type="dxa" w:w="1933"/>
            <w:vAlign w:val="center"/>
            <w:tcMar>
              <w:top w:w="90" w:type="dxa"/>
              <w:start w:w="90" w:type="dxa"/>
              <w:bottom w:w="90" w:type="dxa"/>
              <w:end w:w="90" w:type="dxa"/>
            </w:tcMar>
          </w:tcPr>
          <w:p>
            <w:r>
              <w:rPr>
                <w:rFonts w:ascii="Times New Roman" w:hAnsi="Times New Roman"/>
                <w:sz w:val="17"/>
              </w:rPr>
              <w:t>CP-Liste in Datei 15</w:t>
            </w:r>
          </w:p>
        </w:tc>
        <w:tc>
          <w:tcPr>
            <w:tcW w:type="dxa" w:w="1933"/>
            <w:vAlign w:val="center"/>
            <w:tcMar>
              <w:top w:w="90" w:type="dxa"/>
              <w:start w:w="90" w:type="dxa"/>
              <w:bottom w:w="90" w:type="dxa"/>
              <w:end w:w="90" w:type="dxa"/>
            </w:tcMar>
          </w:tcPr>
          <w:p>
            <w:r>
              <w:rPr>
                <w:rFonts w:ascii="Times New Roman" w:hAnsi="Times New Roman"/>
                <w:sz w:val="17"/>
              </w:rPr>
              <w:t>Liste pflegen</w:t>
            </w:r>
          </w:p>
        </w:tc>
      </w:tr>
      <w:tr>
        <w:tc>
          <w:tcPr>
            <w:tcW w:type="dxa" w:w="1933"/>
            <w:vAlign w:val="center"/>
            <w:tcMar>
              <w:top w:w="90" w:type="dxa"/>
              <w:start w:w="90" w:type="dxa"/>
              <w:bottom w:w="90" w:type="dxa"/>
              <w:end w:w="90" w:type="dxa"/>
            </w:tcMar>
          </w:tcPr>
          <w:p>
            <w:r>
              <w:rPr>
                <w:rFonts w:ascii="Times New Roman" w:hAnsi="Times New Roman"/>
                <w:sz w:val="17"/>
              </w:rPr>
              <w:t>Wandeldarlehen Tante Ermelind</w:t>
            </w:r>
          </w:p>
        </w:tc>
        <w:tc>
          <w:tcPr>
            <w:tcW w:type="dxa" w:w="1933"/>
            <w:vAlign w:val="center"/>
            <w:tcMar>
              <w:top w:w="90" w:type="dxa"/>
              <w:start w:w="90" w:type="dxa"/>
              <w:bottom w:w="90" w:type="dxa"/>
              <w:end w:w="90" w:type="dxa"/>
            </w:tcMar>
          </w:tcPr>
          <w:p>
            <w:r>
              <w:rPr>
                <w:rFonts w:ascii="Times New Roman" w:hAnsi="Times New Roman"/>
                <w:sz w:val="17"/>
              </w:rPr>
              <w:t>nicht in Satzung</w:t>
            </w:r>
          </w:p>
        </w:tc>
        <w:tc>
          <w:tcPr>
            <w:tcW w:type="dxa" w:w="1933"/>
            <w:vAlign w:val="center"/>
            <w:tcMar>
              <w:top w:w="90" w:type="dxa"/>
              <w:start w:w="90" w:type="dxa"/>
              <w:bottom w:w="90" w:type="dxa"/>
              <w:end w:w="90" w:type="dxa"/>
            </w:tcMar>
          </w:tcPr>
          <w:p>
            <w:r>
              <w:rPr>
                <w:rFonts w:ascii="Times New Roman" w:hAnsi="Times New Roman"/>
                <w:sz w:val="17"/>
              </w:rPr>
              <w:t>nicht in Seed-SHA</w:t>
            </w:r>
          </w:p>
        </w:tc>
        <w:tc>
          <w:tcPr>
            <w:tcW w:type="dxa" w:w="1933"/>
            <w:vAlign w:val="center"/>
            <w:tcMar>
              <w:top w:w="90" w:type="dxa"/>
              <w:start w:w="90" w:type="dxa"/>
              <w:bottom w:w="90" w:type="dxa"/>
              <w:end w:w="90" w:type="dxa"/>
            </w:tcMar>
          </w:tcPr>
          <w:p>
            <w:r>
              <w:rPr>
                <w:rFonts w:ascii="Times New Roman" w:hAnsi="Times New Roman"/>
                <w:sz w:val="17"/>
              </w:rPr>
              <w:t>konvertiert bei Closing</w:t>
            </w:r>
          </w:p>
        </w:tc>
        <w:tc>
          <w:tcPr>
            <w:tcW w:type="dxa" w:w="1933"/>
            <w:vAlign w:val="center"/>
            <w:tcMar>
              <w:top w:w="90" w:type="dxa"/>
              <w:start w:w="90" w:type="dxa"/>
              <w:bottom w:w="90" w:type="dxa"/>
              <w:end w:w="90" w:type="dxa"/>
            </w:tcMar>
          </w:tcPr>
          <w:p>
            <w:r>
              <w:rPr>
                <w:rFonts w:ascii="Times New Roman" w:hAnsi="Times New Roman"/>
                <w:sz w:val="17"/>
              </w:rPr>
              <w:t>Beurkundung der Wandlung</w:t>
            </w:r>
          </w:p>
        </w:tc>
      </w:tr>
    </w:tbl>
    <w:p/>
    <w:p/>
    <w:p/>
    <w:p/>
    <w:p>
      <w:pPr>
        <w:pStyle w:val="Heading2"/>
      </w:pPr>
      <w:r>
        <w:t>D Unklare Punkte aus CFO-Kommentar (Olaf Eichholtz, 18.05.2026, 23:07 Uhr per Slack)</w:t>
      </w:r>
    </w:p>
    <w:p/>
    <w:p>
      <w:pPr>
        <w:pStyle w:val="ListNumber"/>
      </w:pPr>
      <w:r>
        <w:rPr>
          <w:rFonts w:ascii="Times New Roman" w:hAnsi="Times New Roman"/>
          <w:sz w:val="20"/>
        </w:rPr>
        <w:t>Die Series-A-Vesting-Regel startet am Closing erneut. Gründer meinen, die Seed-Vesting-Zeit müsse angerechnet werden. Wirtschaftlich harter Reset von circa 28 Monaten.</w:t>
      </w:r>
    </w:p>
    <w:p>
      <w:pPr>
        <w:pStyle w:val="ListNumber"/>
      </w:pPr>
      <w:r>
        <w:rPr>
          <w:rFonts w:ascii="Times New Roman" w:hAnsi="Times New Roman"/>
          <w:sz w:val="20"/>
        </w:rPr>
        <w:t>Der Beirat soll laut Term Sheet "investor director approval" erteilen. Nach aktueller Satzung berät er nur. Frage Olaf: "Brauchen wir eine neue Satzung oder reicht eine Geschäftsordnung?"</w:t>
      </w:r>
    </w:p>
    <w:p>
      <w:pPr>
        <w:pStyle w:val="ListNumber"/>
      </w:pPr>
      <w:r>
        <w:rPr>
          <w:rFonts w:ascii="Times New Roman" w:hAnsi="Times New Roman"/>
          <w:sz w:val="20"/>
        </w:rPr>
        <w:t>Drag-Schwelle im Seed-SHA 70 Prozent, im Series-A-Term-Sheet 60 Prozent plus Series A Majority. "Welche gilt nach Closing?"</w:t>
      </w:r>
    </w:p>
    <w:p>
      <w:pPr>
        <w:pStyle w:val="ListNumber"/>
      </w:pPr>
      <w:r>
        <w:rPr>
          <w:rFonts w:ascii="Times New Roman" w:hAnsi="Times New Roman"/>
          <w:sz w:val="20"/>
        </w:rPr>
        <w:t>Vinkulierung in Satzung verlangt 75 Prozent. Term Sheet spricht nur von Series A Majority. "Konflikt zwischen Satzung und schuldrechtlichem SHA?"</w:t>
      </w:r>
    </w:p>
    <w:p>
      <w:pPr>
        <w:pStyle w:val="ListNumber"/>
      </w:pPr>
      <w:r>
        <w:rPr>
          <w:rFonts w:ascii="Times New Roman" w:hAnsi="Times New Roman"/>
          <w:sz w:val="20"/>
        </w:rPr>
        <w:t>Es gibt keine deutsche Fassung des Term Sheets. Olaf fragt: "Reicht die englische Fassung für den Notar?"</w:t>
      </w:r>
    </w:p>
    <w:p>
      <w:pPr>
        <w:pStyle w:val="ListNumber"/>
      </w:pPr>
      <w:r>
        <w:rPr>
          <w:rFonts w:ascii="Times New Roman" w:hAnsi="Times New Roman"/>
          <w:sz w:val="20"/>
        </w:rPr>
        <w:t>Wettbewerbsverbot von 24 Monaten: "Walburga hat einen Beratungsvertrag mit einer befreundeten Firma. Fällt das darunter?"</w:t>
      </w:r>
    </w:p>
    <w:p>
      <w:pPr>
        <w:pStyle w:val="ListNumber"/>
      </w:pPr>
      <w:r>
        <w:rPr>
          <w:rFonts w:ascii="Times New Roman" w:hAnsi="Times New Roman"/>
          <w:sz w:val="20"/>
        </w:rPr>
        <w:t>Liquidation Preference: "Stehen Stahlauge und Northbridge dann pari passu oder senior?"</w:t>
      </w:r>
    </w:p>
    <w:p>
      <w:pPr>
        <w:pStyle w:val="ListNumber"/>
      </w:pPr>
      <w:r>
        <w:rPr>
          <w:rFonts w:ascii="Times New Roman" w:hAnsi="Times New Roman"/>
          <w:sz w:val="20"/>
        </w:rPr>
        <w:t>Anti-Dilution: "Greift die auch, wenn wir später ein Wandeldarlehen auflegen?"</w:t>
      </w:r>
    </w:p>
    <w:p>
      <w:pPr>
        <w:pStyle w:val="ListNumber"/>
      </w:pPr>
      <w:r>
        <w:rPr>
          <w:rFonts w:ascii="Times New Roman" w:hAnsi="Times New Roman"/>
          <w:sz w:val="20"/>
        </w:rPr>
        <w:t>Tante Ermelind: "Tante Ermelind will Series-A-Preferred-Shares zum Cap-Preis. Welcher Preis ist das genau?"</w:t>
      </w:r>
    </w:p>
    <w:p>
      <w:pPr>
        <w:pStyle w:val="ListNumber"/>
      </w:pPr>
      <w:r>
        <w:rPr>
          <w:rFonts w:ascii="Times New Roman" w:hAnsi="Times New Roman"/>
          <w:sz w:val="20"/>
        </w:rPr>
        <w:t>Krämer Angel Pool: "Der Pool ist eine GbR. Hat der überhaupt Tag-Along-Rechte oder müssen wir die einzeln aufnehmen?"</w:t>
      </w:r>
    </w:p>
    <w:p/>
    <w:p/>
    <w:p/>
    <w:p>
      <w:pPr>
        <w:pStyle w:val="Heading2"/>
      </w:pPr>
      <w:r>
        <w:t>E Notiz Hildemar K. zu § 6 Satzung und Vinkulierung</w:t>
      </w:r>
    </w:p>
    <w:p/>
    <w:p>
      <w:pPr>
        <w:spacing w:after="80"/>
        <w:jc w:val="both"/>
      </w:pPr>
      <w:r>
        <w:rPr>
          <w:rFonts w:ascii="Times New Roman" w:hAnsi="Times New Roman"/>
          <w:sz w:val="21"/>
        </w:rPr>
        <w:t>Die Vinkulierung verlangt 75 Prozent. Wenn das Term Sheet "Series A Majority" verlangt, ist das eine schuldrechtliche Zusatzhürde, keine gesellschaftsrechtliche Erleichterung. Eine Änderung der Satzung wäre theoretisch denkbar, aber die Altgesellschafter Stahlauge und Krämer-Pool würden zustimmen müssen. Vorschlag: Vinkulierung in Satzung beibehalten und im SHA eine Zustimmungspflicht der Series A Majority ergänzen; im Innenverhältnis verpflichten sich alle, ihre Stimmen entsprechend abzugeben. Klassischer SHA-Trick, sollte aber von Adelheid abgesegnet werden.</w:t>
      </w:r>
    </w:p>
    <w:sectPr w:rsidR="00FC693F" w:rsidRPr="0006063C" w:rsidSect="00034616">
      <w:headerReference w:type="default" r:id="rId9"/>
      <w:footerReference w:type="default" r:id="rId10"/>
      <w:pgSz w:w="11909" w:h="16834"/>
      <w:pgMar w:top="1037" w:right="1123" w:bottom="1037" w:left="112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t>Kometenfalter Systems GmbH — internes Arbeitsmaterial</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Hagemann &amp; Westarp | Project Comet Moth | vertraulich</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365F91" w:themeColor="accent1" w:themeShade="BF"/>
      <w:sz w:val="3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4F81BD" w:themeColor="accent1"/>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Times New Roman" w:hAnsi="Times New Roman"/>
      <w:b/>
      <w:bCs/>
      <w:color w:val="4F81BD" w:themeColor="accent1"/>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