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05 DD Red Flags und Client-Fragen</w:t>
      </w:r>
    </w:p>
    <w:p/>
    <w:p>
      <w:pPr>
        <w:spacing w:after="80"/>
        <w:jc w:val="both"/>
      </w:pPr>
      <w:r>
        <w:rPr>
          <w:rFonts w:ascii="Times New Roman" w:hAnsi="Times New Roman"/>
          <w:sz w:val="21"/>
        </w:rPr>
        <w:t>Dieses Dokument ist ein Working Draft des DD-Index aus dem virtuellen Datenraum "comet-moth-2026". Die Partnerin Adelheid von Westarp hat Hildemar K. beauftragt, jeden Befund mit (i) DD-Findung, (ii) Risiko-Einordnung, (iii) Frage an die Mandantin und (iv) möglichem Closing-Mechanismus zu versehen. Der Datenraumindex selbst hat über 600 Einträge; die nachfolgende Liste filtert die für das Series-A-Closing relevanten Befunde.</w:t>
      </w:r>
    </w:p>
    <w:p/>
    <w:p/>
    <w:p/>
    <w:p>
      <w:pPr>
        <w:pStyle w:val="Heading2"/>
      </w:pPr>
      <w:r>
        <w:t>A Datenraumstruktur (Auszug, Stand 20.05.2026)</w:t>
      </w:r>
    </w:p>
    <w:p/>
    <w:p>
      <w:pPr>
        <w:pStyle w:val="NoSpacing"/>
      </w:pPr>
      <w:r>
        <w:rPr>
          <w:rFonts w:ascii="Courier New" w:hAnsi="Courier New"/>
          <w:sz w:val="17"/>
        </w:rPr>
        <w:t>01_Corporate</w:t>
        <w:br/>
        <w:t xml:space="preserve">   01_Articles_of_Association</w:t>
        <w:br/>
        <w:t xml:space="preserve">   02_Shareholders_List</w:t>
        <w:br/>
        <w:t xml:space="preserve">   03_Cap_Table</w:t>
        <w:br/>
        <w:t xml:space="preserve">   04_Shareholders_Agreement</w:t>
        <w:br/>
        <w:t xml:space="preserve">   05_Convertible_Loans</w:t>
        <w:br/>
        <w:t xml:space="preserve">   06_Board_Minutes</w:t>
        <w:br/>
        <w:t xml:space="preserve">   07_Powers_of_Attorney</w:t>
        <w:br/>
        <w:t xml:space="preserve">   08_VSOP_Plan_2024</w:t>
        <w:br/>
        <w:t>02_Commercial</w:t>
        <w:br/>
        <w:t xml:space="preserve">   01_Customer_Contracts</w:t>
        <w:br/>
        <w:t xml:space="preserve">   02_Supplier_Contracts</w:t>
        <w:br/>
        <w:t xml:space="preserve">   03_Partnership_Agreements</w:t>
        <w:br/>
        <w:t>03_IP_and_IT</w:t>
        <w:br/>
        <w:t xml:space="preserve">   01_Patents_and_Trademarks</w:t>
        <w:br/>
        <w:t xml:space="preserve">   02_Open_Source_Inventory</w:t>
        <w:br/>
        <w:t xml:space="preserve">   03_Employee_IP_Assignments</w:t>
        <w:br/>
        <w:t xml:space="preserve">   04_Contractor_IP_Assignments</w:t>
        <w:br/>
        <w:t>04_Employment</w:t>
        <w:br/>
        <w:t>05_Tax</w:t>
        <w:br/>
        <w:t>06_Real_Estate</w:t>
        <w:br/>
        <w:t>07_Litigation</w:t>
        <w:br/>
        <w:t>08_Insurance</w:t>
        <w:br/>
        <w:t>09_Data_Protection</w:t>
      </w:r>
    </w:p>
    <w:p/>
    <w:p>
      <w:pPr>
        <w:spacing w:after="80"/>
        <w:jc w:val="both"/>
      </w:pPr>
      <w:r>
        <w:rPr>
          <w:rFonts w:ascii="Times New Roman" w:hAnsi="Times New Roman"/>
          <w:sz w:val="21"/>
        </w:rPr>
        <w:t>Hildemar hat die für den Friday Call relevanten Funde in den nachfolgenden Abschnitten zusammengefasst. Die Quelle ist immer der Datenraum, nicht externe Datenbanken.</w:t>
      </w:r>
    </w:p>
    <w:p/>
    <w:p/>
    <w:p/>
    <w:p>
      <w:pPr>
        <w:pStyle w:val="Heading2"/>
      </w:pPr>
      <w:r>
        <w:t>B Corporate Findings</w:t>
      </w:r>
    </w:p>
    <w:p/>
    <w:p>
      <w:pPr>
        <w:pStyle w:val="Heading3"/>
      </w:pPr>
      <w:r>
        <w:t>B.1 Gesellschafterliste vs Cap Table</w:t>
      </w:r>
    </w:p>
    <w:p/>
    <w:tbl>
      <w:tblPr>
        <w:tblStyle w:val="TableGrid"/>
        <w:tblW w:type="auto" w:w="0"/>
        <w:jc w:val="center"/>
        <w:tblLook w:firstColumn="1" w:firstRow="1" w:lastColumn="0" w:lastRow="0" w:noHBand="0" w:noVBand="1" w:val="04A0"/>
      </w:tblPr>
      <w:tblGrid>
        <w:gridCol w:w="2416"/>
        <w:gridCol w:w="2416"/>
        <w:gridCol w:w="2416"/>
        <w:gridCol w:w="2416"/>
      </w:tblGrid>
      <w:tr>
        <w:tc>
          <w:tcPr>
            <w:tcW w:type="dxa" w:w="2416"/>
            <w:vAlign w:val="center"/>
            <w:tcMar>
              <w:top w:w="90" w:type="dxa"/>
              <w:start w:w="90" w:type="dxa"/>
              <w:bottom w:w="90" w:type="dxa"/>
              <w:end w:w="90" w:type="dxa"/>
            </w:tcMar>
            <w:shd w:fill="E8EEF7"/>
          </w:tcPr>
          <w:p>
            <w:r>
              <w:rPr>
                <w:rFonts w:ascii="Times New Roman" w:hAnsi="Times New Roman"/>
                <w:b/>
                <w:sz w:val="17"/>
              </w:rPr>
              <w:t>Punkt</w:t>
            </w:r>
          </w:p>
        </w:tc>
        <w:tc>
          <w:tcPr>
            <w:tcW w:type="dxa" w:w="2416"/>
            <w:vAlign w:val="center"/>
            <w:tcMar>
              <w:top w:w="90" w:type="dxa"/>
              <w:start w:w="90" w:type="dxa"/>
              <w:bottom w:w="90" w:type="dxa"/>
              <w:end w:w="90" w:type="dxa"/>
            </w:tcMar>
            <w:shd w:fill="E8EEF7"/>
          </w:tcPr>
          <w:p>
            <w:r>
              <w:rPr>
                <w:rFonts w:ascii="Times New Roman" w:hAnsi="Times New Roman"/>
                <w:b/>
                <w:sz w:val="17"/>
              </w:rPr>
              <w:t>Befund</w:t>
            </w:r>
          </w:p>
        </w:tc>
        <w:tc>
          <w:tcPr>
            <w:tcW w:type="dxa" w:w="2416"/>
            <w:vAlign w:val="center"/>
            <w:tcMar>
              <w:top w:w="90" w:type="dxa"/>
              <w:start w:w="90" w:type="dxa"/>
              <w:bottom w:w="90" w:type="dxa"/>
              <w:end w:w="90" w:type="dxa"/>
            </w:tcMar>
            <w:shd w:fill="E8EEF7"/>
          </w:tcPr>
          <w:p>
            <w:r>
              <w:rPr>
                <w:rFonts w:ascii="Times New Roman" w:hAnsi="Times New Roman"/>
                <w:b/>
                <w:sz w:val="17"/>
              </w:rPr>
              <w:t>Risiko</w:t>
            </w:r>
          </w:p>
        </w:tc>
        <w:tc>
          <w:tcPr>
            <w:tcW w:type="dxa" w:w="2416"/>
            <w:vAlign w:val="center"/>
            <w:tcMar>
              <w:top w:w="90" w:type="dxa"/>
              <w:start w:w="90" w:type="dxa"/>
              <w:bottom w:w="90" w:type="dxa"/>
              <w:end w:w="90" w:type="dxa"/>
            </w:tcMar>
            <w:shd w:fill="E8EEF7"/>
          </w:tcPr>
          <w:p>
            <w:r>
              <w:rPr>
                <w:rFonts w:ascii="Times New Roman" w:hAnsi="Times New Roman"/>
                <w:b/>
                <w:sz w:val="17"/>
              </w:rPr>
              <w:t>Maßnahme</w:t>
            </w:r>
          </w:p>
        </w:tc>
      </w:tr>
      <w:tr>
        <w:tc>
          <w:tcPr>
            <w:tcW w:type="dxa" w:w="2416"/>
            <w:vAlign w:val="center"/>
            <w:tcMar>
              <w:top w:w="90" w:type="dxa"/>
              <w:start w:w="90" w:type="dxa"/>
              <w:bottom w:w="90" w:type="dxa"/>
              <w:end w:w="90" w:type="dxa"/>
            </w:tcMar>
          </w:tcPr>
          <w:p>
            <w:r>
              <w:rPr>
                <w:rFonts w:ascii="Times New Roman" w:hAnsi="Times New Roman"/>
                <w:sz w:val="17"/>
              </w:rPr>
              <w:t>Eingereichte Gesellschafterliste</w:t>
            </w:r>
          </w:p>
        </w:tc>
        <w:tc>
          <w:tcPr>
            <w:tcW w:type="dxa" w:w="2416"/>
            <w:vAlign w:val="center"/>
            <w:tcMar>
              <w:top w:w="90" w:type="dxa"/>
              <w:start w:w="90" w:type="dxa"/>
              <w:bottom w:w="90" w:type="dxa"/>
              <w:end w:w="90" w:type="dxa"/>
            </w:tcMar>
          </w:tcPr>
          <w:p>
            <w:r>
              <w:rPr>
                <w:rFonts w:ascii="Times New Roman" w:hAnsi="Times New Roman"/>
                <w:sz w:val="17"/>
              </w:rPr>
              <w:t>Stand März 2024, ohne VSOP, ohne Wandeldarlehen</w:t>
            </w:r>
          </w:p>
        </w:tc>
        <w:tc>
          <w:tcPr>
            <w:tcW w:type="dxa" w:w="2416"/>
            <w:vAlign w:val="center"/>
            <w:tcMar>
              <w:top w:w="90" w:type="dxa"/>
              <w:start w:w="90" w:type="dxa"/>
              <w:bottom w:w="90" w:type="dxa"/>
              <w:end w:w="90" w:type="dxa"/>
            </w:tcMar>
          </w:tcPr>
          <w:p>
            <w:r>
              <w:rPr>
                <w:rFonts w:ascii="Times New Roman" w:hAnsi="Times New Roman"/>
                <w:sz w:val="17"/>
              </w:rPr>
              <w:t>mittel</w:t>
            </w:r>
          </w:p>
        </w:tc>
        <w:tc>
          <w:tcPr>
            <w:tcW w:type="dxa" w:w="2416"/>
            <w:vAlign w:val="center"/>
            <w:tcMar>
              <w:top w:w="90" w:type="dxa"/>
              <w:start w:w="90" w:type="dxa"/>
              <w:bottom w:w="90" w:type="dxa"/>
              <w:end w:w="90" w:type="dxa"/>
            </w:tcMar>
          </w:tcPr>
          <w:p>
            <w:r>
              <w:rPr>
                <w:rFonts w:ascii="Times New Roman" w:hAnsi="Times New Roman"/>
                <w:sz w:val="17"/>
              </w:rPr>
              <w:t>Pre-Closing-Liste durch Notar zum Stand nach Closing</w:t>
            </w:r>
          </w:p>
        </w:tc>
      </w:tr>
      <w:tr>
        <w:tc>
          <w:tcPr>
            <w:tcW w:type="dxa" w:w="2416"/>
            <w:vAlign w:val="center"/>
            <w:tcMar>
              <w:top w:w="90" w:type="dxa"/>
              <w:start w:w="90" w:type="dxa"/>
              <w:bottom w:w="90" w:type="dxa"/>
              <w:end w:w="90" w:type="dxa"/>
            </w:tcMar>
          </w:tcPr>
          <w:p>
            <w:r>
              <w:rPr>
                <w:rFonts w:ascii="Times New Roman" w:hAnsi="Times New Roman"/>
                <w:sz w:val="17"/>
              </w:rPr>
              <w:t>CFO-Cap-Table</w:t>
            </w:r>
          </w:p>
        </w:tc>
        <w:tc>
          <w:tcPr>
            <w:tcW w:type="dxa" w:w="2416"/>
            <w:vAlign w:val="center"/>
            <w:tcMar>
              <w:top w:w="90" w:type="dxa"/>
              <w:start w:w="90" w:type="dxa"/>
              <w:bottom w:w="90" w:type="dxa"/>
              <w:end w:w="90" w:type="dxa"/>
            </w:tcMar>
          </w:tcPr>
          <w:p>
            <w:r>
              <w:rPr>
                <w:rFonts w:ascii="Times New Roman" w:hAnsi="Times New Roman"/>
                <w:sz w:val="17"/>
              </w:rPr>
              <w:t>Stand Mai 2026, inkl. VSOP (Phantom) und Tante-Ermelind-Wandeldarlehen</w:t>
            </w:r>
          </w:p>
        </w:tc>
        <w:tc>
          <w:tcPr>
            <w:tcW w:type="dxa" w:w="2416"/>
            <w:vAlign w:val="center"/>
            <w:tcMar>
              <w:top w:w="90" w:type="dxa"/>
              <w:start w:w="90" w:type="dxa"/>
              <w:bottom w:w="90" w:type="dxa"/>
              <w:end w:w="90" w:type="dxa"/>
            </w:tcMar>
          </w:tcPr>
          <w:p>
            <w:r>
              <w:rPr>
                <w:rFonts w:ascii="Times New Roman" w:hAnsi="Times New Roman"/>
                <w:sz w:val="17"/>
              </w:rPr>
              <w:t>hoch</w:t>
            </w:r>
          </w:p>
        </w:tc>
        <w:tc>
          <w:tcPr>
            <w:tcW w:type="dxa" w:w="2416"/>
            <w:vAlign w:val="center"/>
            <w:tcMar>
              <w:top w:w="90" w:type="dxa"/>
              <w:start w:w="90" w:type="dxa"/>
              <w:bottom w:w="90" w:type="dxa"/>
              <w:end w:w="90" w:type="dxa"/>
            </w:tcMar>
          </w:tcPr>
          <w:p>
            <w:r>
              <w:rPr>
                <w:rFonts w:ascii="Times New Roman" w:hAnsi="Times New Roman"/>
                <w:sz w:val="17"/>
              </w:rPr>
              <w:t>Trennung Cap Table (wirtschaftlich) vs Gesellschafterliste (§ 40 GmbHG) sauber dokumentieren</w:t>
            </w:r>
          </w:p>
        </w:tc>
      </w:tr>
      <w:tr>
        <w:tc>
          <w:tcPr>
            <w:tcW w:type="dxa" w:w="2416"/>
            <w:vAlign w:val="center"/>
            <w:tcMar>
              <w:top w:w="90" w:type="dxa"/>
              <w:start w:w="90" w:type="dxa"/>
              <w:bottom w:w="90" w:type="dxa"/>
              <w:end w:w="90" w:type="dxa"/>
            </w:tcMar>
          </w:tcPr>
          <w:p>
            <w:r>
              <w:rPr>
                <w:rFonts w:ascii="Times New Roman" w:hAnsi="Times New Roman"/>
                <w:sz w:val="17"/>
              </w:rPr>
              <w:t>Diskrepanz</w:t>
            </w:r>
          </w:p>
        </w:tc>
        <w:tc>
          <w:tcPr>
            <w:tcW w:type="dxa" w:w="2416"/>
            <w:vAlign w:val="center"/>
            <w:tcMar>
              <w:top w:w="90" w:type="dxa"/>
              <w:start w:w="90" w:type="dxa"/>
              <w:bottom w:w="90" w:type="dxa"/>
              <w:end w:w="90" w:type="dxa"/>
            </w:tcMar>
          </w:tcPr>
          <w:p>
            <w:r>
              <w:rPr>
                <w:rFonts w:ascii="Times New Roman" w:hAnsi="Times New Roman"/>
                <w:sz w:val="17"/>
              </w:rPr>
              <w:t>Prozentwerte abweichend, weil Pool, Wandeldarlehen und VSOP eingerechnet</w:t>
            </w:r>
          </w:p>
        </w:tc>
        <w:tc>
          <w:tcPr>
            <w:tcW w:type="dxa" w:w="2416"/>
            <w:vAlign w:val="center"/>
            <w:tcMar>
              <w:top w:w="90" w:type="dxa"/>
              <w:start w:w="90" w:type="dxa"/>
              <w:bottom w:w="90" w:type="dxa"/>
              <w:end w:w="90" w:type="dxa"/>
            </w:tcMar>
          </w:tcPr>
          <w:p>
            <w:r>
              <w:rPr>
                <w:rFonts w:ascii="Times New Roman" w:hAnsi="Times New Roman"/>
                <w:sz w:val="17"/>
              </w:rPr>
              <w:t>hoch</w:t>
            </w:r>
          </w:p>
        </w:tc>
        <w:tc>
          <w:tcPr>
            <w:tcW w:type="dxa" w:w="2416"/>
            <w:vAlign w:val="center"/>
            <w:tcMar>
              <w:top w:w="90" w:type="dxa"/>
              <w:start w:w="90" w:type="dxa"/>
              <w:bottom w:w="90" w:type="dxa"/>
              <w:end w:w="90" w:type="dxa"/>
            </w:tcMar>
          </w:tcPr>
          <w:p>
            <w:r>
              <w:rPr>
                <w:rFonts w:ascii="Times New Roman" w:hAnsi="Times New Roman"/>
                <w:sz w:val="17"/>
              </w:rPr>
              <w:t>Reconciliation Sheet anlegen, Disclosure Schedule erstellen</w:t>
            </w:r>
          </w:p>
        </w:tc>
      </w:tr>
    </w:tbl>
    <w:p/>
    <w:p/>
    <w:p>
      <w:pPr>
        <w:spacing w:after="80"/>
        <w:jc w:val="both"/>
      </w:pPr>
      <w:r>
        <w:rPr>
          <w:rFonts w:ascii="Times New Roman" w:hAnsi="Times New Roman"/>
          <w:sz w:val="21"/>
        </w:rPr>
        <w:t>Client-Frage Olaf (CFO): "Ist die Gesellschafterliste falsch?" — Antwort: Nein, sie ist nicht falsch, sondern bildet nur den Status quo der formalen Geschäftsanteile ab. Cap Table ist eine wirtschaftliche Projektion.</w:t>
      </w:r>
    </w:p>
    <w:p/>
    <w:p>
      <w:pPr>
        <w:pStyle w:val="Heading3"/>
      </w:pPr>
      <w:r>
        <w:t>B.2 Wandeldarlehen Tante Ermelind Capital UG</w:t>
      </w:r>
    </w:p>
    <w:p/>
    <w:tbl>
      <w:tblPr>
        <w:tblStyle w:val="TableGrid"/>
        <w:tblW w:type="auto" w:w="0"/>
        <w:jc w:val="center"/>
        <w:tblLook w:firstColumn="1" w:firstRow="1" w:lastColumn="0" w:lastRow="0" w:noHBand="0" w:noVBand="1" w:val="04A0"/>
      </w:tblPr>
      <w:tblGrid>
        <w:gridCol w:w="3221"/>
        <w:gridCol w:w="3221"/>
        <w:gridCol w:w="3221"/>
      </w:tblGrid>
      <w:tr>
        <w:tc>
          <w:tcPr>
            <w:tcW w:type="dxa" w:w="3221"/>
            <w:vAlign w:val="center"/>
            <w:tcMar>
              <w:top w:w="90" w:type="dxa"/>
              <w:start w:w="90" w:type="dxa"/>
              <w:bottom w:w="90" w:type="dxa"/>
              <w:end w:w="90" w:type="dxa"/>
            </w:tcMar>
            <w:shd w:fill="E8EEF7"/>
          </w:tcPr>
          <w:p>
            <w:r>
              <w:rPr>
                <w:rFonts w:ascii="Times New Roman" w:hAnsi="Times New Roman"/>
                <w:b/>
                <w:sz w:val="17"/>
              </w:rPr>
              <w:t>Punkt</w:t>
            </w:r>
          </w:p>
        </w:tc>
        <w:tc>
          <w:tcPr>
            <w:tcW w:type="dxa" w:w="3221"/>
            <w:vAlign w:val="center"/>
            <w:tcMar>
              <w:top w:w="90" w:type="dxa"/>
              <w:start w:w="90" w:type="dxa"/>
              <w:bottom w:w="90" w:type="dxa"/>
              <w:end w:w="90" w:type="dxa"/>
            </w:tcMar>
            <w:shd w:fill="E8EEF7"/>
          </w:tcPr>
          <w:p>
            <w:r>
              <w:rPr>
                <w:rFonts w:ascii="Times New Roman" w:hAnsi="Times New Roman"/>
                <w:b/>
                <w:sz w:val="17"/>
              </w:rPr>
              <w:t>Befund</w:t>
            </w:r>
          </w:p>
        </w:tc>
        <w:tc>
          <w:tcPr>
            <w:tcW w:type="dxa" w:w="3221"/>
            <w:vAlign w:val="center"/>
            <w:tcMar>
              <w:top w:w="90" w:type="dxa"/>
              <w:start w:w="90" w:type="dxa"/>
              <w:bottom w:w="90" w:type="dxa"/>
              <w:end w:w="90" w:type="dxa"/>
            </w:tcMar>
            <w:shd w:fill="E8EEF7"/>
          </w:tcPr>
          <w:p>
            <w:r>
              <w:rPr>
                <w:rFonts w:ascii="Times New Roman" w:hAnsi="Times New Roman"/>
                <w:b/>
                <w:sz w:val="17"/>
              </w:rPr>
              <w:t>Risiko</w:t>
            </w:r>
          </w:p>
        </w:tc>
      </w:tr>
      <w:tr>
        <w:tc>
          <w:tcPr>
            <w:tcW w:type="dxa" w:w="3221"/>
            <w:vAlign w:val="center"/>
            <w:tcMar>
              <w:top w:w="90" w:type="dxa"/>
              <w:start w:w="90" w:type="dxa"/>
              <w:bottom w:w="90" w:type="dxa"/>
              <w:end w:w="90" w:type="dxa"/>
            </w:tcMar>
          </w:tcPr>
          <w:p>
            <w:r>
              <w:rPr>
                <w:rFonts w:ascii="Times New Roman" w:hAnsi="Times New Roman"/>
                <w:sz w:val="17"/>
              </w:rPr>
              <w:t>Form</w:t>
            </w:r>
          </w:p>
        </w:tc>
        <w:tc>
          <w:tcPr>
            <w:tcW w:type="dxa" w:w="3221"/>
            <w:vAlign w:val="center"/>
            <w:tcMar>
              <w:top w:w="90" w:type="dxa"/>
              <w:start w:w="90" w:type="dxa"/>
              <w:bottom w:w="90" w:type="dxa"/>
              <w:end w:w="90" w:type="dxa"/>
            </w:tcMar>
          </w:tcPr>
          <w:p>
            <w:r>
              <w:rPr>
                <w:rFonts w:ascii="Times New Roman" w:hAnsi="Times New Roman"/>
                <w:sz w:val="17"/>
              </w:rPr>
              <w:t>DocuSign</w:t>
            </w:r>
          </w:p>
        </w:tc>
        <w:tc>
          <w:tcPr>
            <w:tcW w:type="dxa" w:w="3221"/>
            <w:vAlign w:val="center"/>
            <w:tcMar>
              <w:top w:w="90" w:type="dxa"/>
              <w:start w:w="90" w:type="dxa"/>
              <w:bottom w:w="90" w:type="dxa"/>
              <w:end w:w="90" w:type="dxa"/>
            </w:tcMar>
          </w:tcPr>
          <w:p>
            <w:r>
              <w:rPr>
                <w:rFonts w:ascii="Times New Roman" w:hAnsi="Times New Roman"/>
                <w:sz w:val="17"/>
              </w:rPr>
              <w:t>gering für das schuldrechtliche Darlehen selbst</w:t>
            </w:r>
          </w:p>
        </w:tc>
      </w:tr>
      <w:tr>
        <w:tc>
          <w:tcPr>
            <w:tcW w:type="dxa" w:w="3221"/>
            <w:vAlign w:val="center"/>
            <w:tcMar>
              <w:top w:w="90" w:type="dxa"/>
              <w:start w:w="90" w:type="dxa"/>
              <w:bottom w:w="90" w:type="dxa"/>
              <w:end w:w="90" w:type="dxa"/>
            </w:tcMar>
          </w:tcPr>
          <w:p>
            <w:r>
              <w:rPr>
                <w:rFonts w:ascii="Times New Roman" w:hAnsi="Times New Roman"/>
                <w:sz w:val="17"/>
              </w:rPr>
              <w:t>Wandlung</w:t>
            </w:r>
          </w:p>
        </w:tc>
        <w:tc>
          <w:tcPr>
            <w:tcW w:type="dxa" w:w="3221"/>
            <w:vAlign w:val="center"/>
            <w:tcMar>
              <w:top w:w="90" w:type="dxa"/>
              <w:start w:w="90" w:type="dxa"/>
              <w:bottom w:w="90" w:type="dxa"/>
              <w:end w:w="90" w:type="dxa"/>
            </w:tcMar>
          </w:tcPr>
          <w:p>
            <w:r>
              <w:rPr>
                <w:rFonts w:ascii="Times New Roman" w:hAnsi="Times New Roman"/>
                <w:sz w:val="17"/>
              </w:rPr>
              <w:t>"shall convert into Series A Preferred Shares"</w:t>
            </w:r>
          </w:p>
        </w:tc>
        <w:tc>
          <w:tcPr>
            <w:tcW w:type="dxa" w:w="3221"/>
            <w:vAlign w:val="center"/>
            <w:tcMar>
              <w:top w:w="90" w:type="dxa"/>
              <w:start w:w="90" w:type="dxa"/>
              <w:bottom w:w="90" w:type="dxa"/>
              <w:end w:w="90" w:type="dxa"/>
            </w:tcMar>
          </w:tcPr>
          <w:p>
            <w:r>
              <w:rPr>
                <w:rFonts w:ascii="Times New Roman" w:hAnsi="Times New Roman"/>
                <w:sz w:val="17"/>
              </w:rPr>
              <w:t>hoch — Wandlung bedürfte Kapitalerhöhung mit Beurkundung § 53 GmbHG i.V.m. § 55 GmbHG</w:t>
            </w:r>
          </w:p>
        </w:tc>
      </w:tr>
      <w:tr>
        <w:tc>
          <w:tcPr>
            <w:tcW w:type="dxa" w:w="3221"/>
            <w:vAlign w:val="center"/>
            <w:tcMar>
              <w:top w:w="90" w:type="dxa"/>
              <w:start w:w="90" w:type="dxa"/>
              <w:bottom w:w="90" w:type="dxa"/>
              <w:end w:w="90" w:type="dxa"/>
            </w:tcMar>
          </w:tcPr>
          <w:p>
            <w:r>
              <w:rPr>
                <w:rFonts w:ascii="Times New Roman" w:hAnsi="Times New Roman"/>
                <w:sz w:val="17"/>
              </w:rPr>
              <w:t>Definitionsverweis</w:t>
            </w:r>
          </w:p>
        </w:tc>
        <w:tc>
          <w:tcPr>
            <w:tcW w:type="dxa" w:w="3221"/>
            <w:vAlign w:val="center"/>
            <w:tcMar>
              <w:top w:w="90" w:type="dxa"/>
              <w:start w:w="90" w:type="dxa"/>
              <w:bottom w:w="90" w:type="dxa"/>
              <w:end w:w="90" w:type="dxa"/>
            </w:tcMar>
          </w:tcPr>
          <w:p>
            <w:r>
              <w:rPr>
                <w:rFonts w:ascii="Times New Roman" w:hAnsi="Times New Roman"/>
                <w:sz w:val="17"/>
              </w:rPr>
              <w:t>"customary long-form documents"</w:t>
            </w:r>
          </w:p>
        </w:tc>
        <w:tc>
          <w:tcPr>
            <w:tcW w:type="dxa" w:w="3221"/>
            <w:vAlign w:val="center"/>
            <w:tcMar>
              <w:top w:w="90" w:type="dxa"/>
              <w:start w:w="90" w:type="dxa"/>
              <w:bottom w:w="90" w:type="dxa"/>
              <w:end w:w="90" w:type="dxa"/>
            </w:tcMar>
          </w:tcPr>
          <w:p>
            <w:r>
              <w:rPr>
                <w:rFonts w:ascii="Times New Roman" w:hAnsi="Times New Roman"/>
                <w:sz w:val="17"/>
              </w:rPr>
              <w:t>mittel — Auslegungsstreit möglich</w:t>
            </w:r>
          </w:p>
        </w:tc>
      </w:tr>
      <w:tr>
        <w:tc>
          <w:tcPr>
            <w:tcW w:type="dxa" w:w="3221"/>
            <w:vAlign w:val="center"/>
            <w:tcMar>
              <w:top w:w="90" w:type="dxa"/>
              <w:start w:w="90" w:type="dxa"/>
              <w:bottom w:w="90" w:type="dxa"/>
              <w:end w:w="90" w:type="dxa"/>
            </w:tcMar>
          </w:tcPr>
          <w:p>
            <w:r>
              <w:rPr>
                <w:rFonts w:ascii="Times New Roman" w:hAnsi="Times New Roman"/>
                <w:sz w:val="17"/>
              </w:rPr>
              <w:t>Discount, Cap</w:t>
            </w:r>
          </w:p>
        </w:tc>
        <w:tc>
          <w:tcPr>
            <w:tcW w:type="dxa" w:w="3221"/>
            <w:vAlign w:val="center"/>
            <w:tcMar>
              <w:top w:w="90" w:type="dxa"/>
              <w:start w:w="90" w:type="dxa"/>
              <w:bottom w:w="90" w:type="dxa"/>
              <w:end w:w="90" w:type="dxa"/>
            </w:tcMar>
          </w:tcPr>
          <w:p>
            <w:r>
              <w:rPr>
                <w:rFonts w:ascii="Times New Roman" w:hAnsi="Times New Roman"/>
                <w:sz w:val="17"/>
              </w:rPr>
              <w:t>20 Prozent, EUR 10 Mio.</w:t>
            </w:r>
          </w:p>
        </w:tc>
        <w:tc>
          <w:tcPr>
            <w:tcW w:type="dxa" w:w="3221"/>
            <w:vAlign w:val="center"/>
            <w:tcMar>
              <w:top w:w="90" w:type="dxa"/>
              <w:start w:w="90" w:type="dxa"/>
              <w:bottom w:w="90" w:type="dxa"/>
              <w:end w:w="90" w:type="dxa"/>
            </w:tcMar>
          </w:tcPr>
          <w:p>
            <w:r>
              <w:rPr>
                <w:rFonts w:ascii="Times New Roman" w:hAnsi="Times New Roman"/>
                <w:sz w:val="17"/>
              </w:rPr>
              <w:t>dokumentiert</w:t>
            </w:r>
          </w:p>
        </w:tc>
      </w:tr>
      <w:tr>
        <w:tc>
          <w:tcPr>
            <w:tcW w:type="dxa" w:w="3221"/>
            <w:vAlign w:val="center"/>
            <w:tcMar>
              <w:top w:w="90" w:type="dxa"/>
              <w:start w:w="90" w:type="dxa"/>
              <w:bottom w:w="90" w:type="dxa"/>
              <w:end w:w="90" w:type="dxa"/>
            </w:tcMar>
          </w:tcPr>
          <w:p>
            <w:r>
              <w:rPr>
                <w:rFonts w:ascii="Times New Roman" w:hAnsi="Times New Roman"/>
                <w:sz w:val="17"/>
              </w:rPr>
              <w:t>Zinsen</w:t>
            </w:r>
          </w:p>
        </w:tc>
        <w:tc>
          <w:tcPr>
            <w:tcW w:type="dxa" w:w="3221"/>
            <w:vAlign w:val="center"/>
            <w:tcMar>
              <w:top w:w="90" w:type="dxa"/>
              <w:start w:w="90" w:type="dxa"/>
              <w:bottom w:w="90" w:type="dxa"/>
              <w:end w:w="90" w:type="dxa"/>
            </w:tcMar>
          </w:tcPr>
          <w:p>
            <w:r>
              <w:rPr>
                <w:rFonts w:ascii="Times New Roman" w:hAnsi="Times New Roman"/>
                <w:sz w:val="17"/>
              </w:rPr>
              <w:t>8 Prozent PIK p.a.</w:t>
            </w:r>
          </w:p>
        </w:tc>
        <w:tc>
          <w:tcPr>
            <w:tcW w:type="dxa" w:w="3221"/>
            <w:vAlign w:val="center"/>
            <w:tcMar>
              <w:top w:w="90" w:type="dxa"/>
              <w:start w:w="90" w:type="dxa"/>
              <w:bottom w:w="90" w:type="dxa"/>
              <w:end w:w="90" w:type="dxa"/>
            </w:tcMar>
          </w:tcPr>
          <w:p>
            <w:r>
              <w:rPr>
                <w:rFonts w:ascii="Times New Roman" w:hAnsi="Times New Roman"/>
                <w:sz w:val="17"/>
              </w:rPr>
              <w:t>dokumentiert</w:t>
            </w:r>
          </w:p>
        </w:tc>
      </w:tr>
      <w:tr>
        <w:tc>
          <w:tcPr>
            <w:tcW w:type="dxa" w:w="3221"/>
            <w:vAlign w:val="center"/>
            <w:tcMar>
              <w:top w:w="90" w:type="dxa"/>
              <w:start w:w="90" w:type="dxa"/>
              <w:bottom w:w="90" w:type="dxa"/>
              <w:end w:w="90" w:type="dxa"/>
            </w:tcMar>
          </w:tcPr>
          <w:p>
            <w:r>
              <w:rPr>
                <w:rFonts w:ascii="Times New Roman" w:hAnsi="Times New Roman"/>
                <w:sz w:val="17"/>
              </w:rPr>
              <w:t>Vorzeitige Rückzahlung</w:t>
            </w:r>
          </w:p>
        </w:tc>
        <w:tc>
          <w:tcPr>
            <w:tcW w:type="dxa" w:w="3221"/>
            <w:vAlign w:val="center"/>
            <w:tcMar>
              <w:top w:w="90" w:type="dxa"/>
              <w:start w:w="90" w:type="dxa"/>
              <w:bottom w:w="90" w:type="dxa"/>
              <w:end w:w="90" w:type="dxa"/>
            </w:tcMar>
          </w:tcPr>
          <w:p>
            <w:r>
              <w:rPr>
                <w:rFonts w:ascii="Times New Roman" w:hAnsi="Times New Roman"/>
                <w:sz w:val="17"/>
              </w:rPr>
              <w:t>nicht geregelt</w:t>
            </w:r>
          </w:p>
        </w:tc>
        <w:tc>
          <w:tcPr>
            <w:tcW w:type="dxa" w:w="3221"/>
            <w:vAlign w:val="center"/>
            <w:tcMar>
              <w:top w:w="90" w:type="dxa"/>
              <w:start w:w="90" w:type="dxa"/>
              <w:bottom w:w="90" w:type="dxa"/>
              <w:end w:w="90" w:type="dxa"/>
            </w:tcMar>
          </w:tcPr>
          <w:p>
            <w:r>
              <w:rPr>
                <w:rFonts w:ascii="Times New Roman" w:hAnsi="Times New Roman"/>
                <w:sz w:val="17"/>
              </w:rPr>
              <w:t>offener Punkt</w:t>
            </w:r>
          </w:p>
        </w:tc>
      </w:tr>
    </w:tbl>
    <w:p/>
    <w:p/>
    <w:p>
      <w:pPr>
        <w:spacing w:after="80"/>
        <w:jc w:val="both"/>
      </w:pPr>
      <w:r>
        <w:rPr>
          <w:rFonts w:ascii="Times New Roman" w:hAnsi="Times New Roman"/>
          <w:sz w:val="21"/>
        </w:rPr>
        <w:t>Client-Frage Walburga: "Tante Ermelind glaubt, sie sei schon Gesellschafterin." — Antwort: Nein, ein Wandeldarlehen begründet einen schuldrechtlichen Anspruch auf künftige Geschäftsanteile, keine bestehende Gesellschafterstellung.</w:t>
      </w:r>
    </w:p>
    <w:p/>
    <w:p>
      <w:pPr>
        <w:pStyle w:val="Heading3"/>
      </w:pPr>
      <w:r>
        <w:t>B.3 Beirat und Board Minutes</w:t>
      </w:r>
    </w:p>
    <w:p/>
    <w:p>
      <w:pPr>
        <w:spacing w:after="80"/>
        <w:jc w:val="both"/>
      </w:pPr>
      <w:r>
        <w:rPr>
          <w:rFonts w:ascii="Times New Roman" w:hAnsi="Times New Roman"/>
          <w:sz w:val="21"/>
        </w:rPr>
        <w:t>Der Beirat hat seit Gründung sieben Sitzungen abgehalten, aber nur drei Protokolle wurden ordentlich gefertigt. Die übrigen liegen als Slack-Threads vor. Wenn der Series-A-SHA Reserved-Matters-Zustimmungen verlangt, müssen wir eine saubere Geschäftsordnung und ein Protokollbuch einrichten.</w:t>
      </w:r>
    </w:p>
    <w:p/>
    <w:p>
      <w:pPr>
        <w:pStyle w:val="Heading3"/>
      </w:pPr>
      <w:r>
        <w:t>B.4 Powers of Attorney</w:t>
      </w:r>
    </w:p>
    <w:p/>
    <w:p>
      <w:pPr>
        <w:spacing w:after="80"/>
        <w:jc w:val="both"/>
      </w:pPr>
      <w:r>
        <w:rPr>
          <w:rFonts w:ascii="Times New Roman" w:hAnsi="Times New Roman"/>
          <w:sz w:val="21"/>
        </w:rPr>
        <w:t>Es existieren zwei generelle Vollmachten zugunsten Meinhards, beide notariell beurkundet 2023. Eine davon ist auf "Bankgeschäfte" beschränkt. Im Datenraum fehlt eine aktualisierte Generalvollmacht für Notartermine zugunsten Adelheids. Pre-Closing erforderlich.</w:t>
      </w:r>
    </w:p>
    <w:p/>
    <w:p>
      <w:pPr>
        <w:pStyle w:val="Heading3"/>
      </w:pPr>
      <w:r>
        <w:t>B.5 VSOP-Plan 2024</w:t>
      </w:r>
    </w:p>
    <w:p/>
    <w:p>
      <w:pPr>
        <w:spacing w:after="80"/>
        <w:jc w:val="both"/>
      </w:pPr>
      <w:r>
        <w:rPr>
          <w:rFonts w:ascii="Times New Roman" w:hAnsi="Times New Roman"/>
          <w:sz w:val="21"/>
        </w:rPr>
        <w:t>Phantom-Stock-Plan, virtuelle Anteile, Vesting 48 Monate mit 12-Monats-Cliff. Aktuelle Allokation: 850.000 EUR an virtuellem Wert auf 14 Mitarbeiter, davon ein Schlüsselentwickler mit 280.000 EUR. Trigger-Events: Exit. Im Datenraum kein Acceleration-Mechanismus dokumentiert.</w:t>
      </w:r>
    </w:p>
    <w:p/>
    <w:p/>
    <w:p/>
    <w:p>
      <w:pPr>
        <w:pStyle w:val="Heading2"/>
      </w:pPr>
      <w:r>
        <w:t>C IP Findings</w:t>
      </w:r>
    </w:p>
    <w:p/>
    <w:p>
      <w:pPr>
        <w:pStyle w:val="Heading3"/>
      </w:pPr>
      <w:r>
        <w:t>C.1 Entwicklervertrag von 2023 mit "work made for hire"</w:t>
      </w:r>
    </w:p>
    <w:p/>
    <w:p>
      <w:pPr>
        <w:spacing w:after="80"/>
        <w:jc w:val="both"/>
      </w:pPr>
      <w:r>
        <w:rPr>
          <w:rFonts w:ascii="Times New Roman" w:hAnsi="Times New Roman"/>
          <w:sz w:val="21"/>
        </w:rPr>
        <w:t>Englische Klausel: "All work product, including but not limited to source code, designs and documentation, shall be deemed work made for hire and shall vest exclusively in the Company."</w:t>
      </w:r>
    </w:p>
    <w:p/>
    <w:p>
      <w:pPr>
        <w:spacing w:after="80"/>
        <w:jc w:val="both"/>
      </w:pPr>
      <w:r>
        <w:rPr>
          <w:rFonts w:ascii="Times New Roman" w:hAnsi="Times New Roman"/>
          <w:sz w:val="21"/>
        </w:rPr>
        <w:t>Risiko: Die Rechtsfigur "work made for hire" gibt es im deutschen Urheberrecht nicht. Eine wirksame Übertragung der ausschließlichen Nutzungsrechte nach § 31 UrhG verlangt nach deutscher Rechtslage zumindest eine zweckorientierte Auslegung (Zweckübertragungslehre, § 31 Abs. 5 UrhG). Die generische "work made for hire"-Klausel ist im Zweifel unwirksam für die hier benötigten ausschließlichen Rechte.</w:t>
      </w:r>
    </w:p>
    <w:p/>
    <w:p>
      <w:pPr>
        <w:spacing w:after="80"/>
        <w:jc w:val="both"/>
      </w:pPr>
      <w:r>
        <w:rPr>
          <w:rFonts w:ascii="Times New Roman" w:hAnsi="Times New Roman"/>
          <w:sz w:val="21"/>
        </w:rPr>
        <w:t>Maßnahme: Pre-Closing Nachbesserungsvertrag mit den betroffenen Entwicklern, der die Rechteübertragung nach deutschem Recht klarstellt.</w:t>
      </w:r>
    </w:p>
    <w:p/>
    <w:p>
      <w:pPr>
        <w:pStyle w:val="Heading3"/>
      </w:pPr>
      <w:r>
        <w:t>C.2 Open-Source-Inventar</w:t>
      </w:r>
    </w:p>
    <w:p/>
    <w:p>
      <w:pPr>
        <w:spacing w:after="80"/>
        <w:jc w:val="both"/>
      </w:pPr>
      <w:r>
        <w:rPr>
          <w:rFonts w:ascii="Times New Roman" w:hAnsi="Times New Roman"/>
          <w:sz w:val="21"/>
        </w:rPr>
        <w:t>Im Datenraum eine Excel-Liste mit 47 verwendeten OSS-Komponenten. Drei davon stehen unter AGPL. Risiko: Bei Distribution der Software (z.B. SaaS-Sonderfälle) Copyleft-Effekt möglich.</w:t>
      </w:r>
    </w:p>
    <w:p/>
    <w:p>
      <w:pPr>
        <w:spacing w:after="80"/>
        <w:jc w:val="both"/>
      </w:pPr>
      <w:r>
        <w:rPr>
          <w:rFonts w:ascii="Times New Roman" w:hAnsi="Times New Roman"/>
          <w:sz w:val="21"/>
        </w:rPr>
        <w:t>Frage an die Mandantin: Wird die Software je beim Kunden installiert oder ausschließlich als SaaS betrieben? Die Antwort entscheidet, ob die AGPL-Komponenten neutralisiert werden müssen.</w:t>
      </w:r>
    </w:p>
    <w:p/>
    <w:p>
      <w:pPr>
        <w:pStyle w:val="Heading3"/>
      </w:pPr>
      <w:r>
        <w:t>C.3 Marken</w:t>
      </w:r>
    </w:p>
    <w:p/>
    <w:p>
      <w:pPr>
        <w:spacing w:after="80"/>
        <w:jc w:val="both"/>
      </w:pPr>
      <w:r>
        <w:rPr>
          <w:rFonts w:ascii="Times New Roman" w:hAnsi="Times New Roman"/>
          <w:sz w:val="21"/>
        </w:rPr>
        <w:t>Wortmarke "Comet Moth" angemeldet beim DPMA und EUIPO, aber im Datenraum ist nur die DPMA-Anmeldung in Bestätigungsphase. EUIPO-Status: "Prüfungsverfahren". Risiko: gering bis mittel.</w:t>
      </w:r>
    </w:p>
    <w:p/>
    <w:p/>
    <w:p/>
    <w:p>
      <w:pPr>
        <w:pStyle w:val="Heading2"/>
      </w:pPr>
      <w:r>
        <w:t>D Employment Findings</w:t>
      </w:r>
    </w:p>
    <w:p/>
    <w:p>
      <w:pPr>
        <w:pStyle w:val="Heading3"/>
      </w:pPr>
      <w:r>
        <w:t>D.1 Geschäftsführer-Anstellungsverträge</w:t>
      </w:r>
    </w:p>
    <w:p/>
    <w:p>
      <w:pPr>
        <w:spacing w:after="80"/>
        <w:jc w:val="both"/>
      </w:pPr>
      <w:r>
        <w:rPr>
          <w:rFonts w:ascii="Times New Roman" w:hAnsi="Times New Roman"/>
          <w:sz w:val="21"/>
        </w:rPr>
        <w:t>Drei Anstellungsverträge für die Gründer, alle in englischer Sprache, mit deutschem Recht (Vertragsstatut). Punkte:</w:t>
      </w:r>
    </w:p>
    <w:p/>
    <w:p>
      <w:pPr>
        <w:pStyle w:val="ListBullet"/>
      </w:pPr>
      <w:r>
        <w:rPr>
          <w:rFonts w:ascii="Times New Roman" w:hAnsi="Times New Roman"/>
          <w:sz w:val="20"/>
        </w:rPr>
        <w:t>Kündigungsfrist: "six months notice". Achtung: GmbH-Geschäftsführer unterliegen nicht dem KSchG, aber besondere Schutzregelungen gelten nicht ohne weiteres analog.</w:t>
      </w:r>
    </w:p>
    <w:p>
      <w:pPr>
        <w:pStyle w:val="ListBullet"/>
      </w:pPr>
      <w:r>
        <w:rPr>
          <w:rFonts w:ascii="Times New Roman" w:hAnsi="Times New Roman"/>
          <w:sz w:val="20"/>
        </w:rPr>
        <w:t>Gehalt: jeweils EUR 120.000, plus Bonus bis 30 Prozent.</w:t>
      </w:r>
    </w:p>
    <w:p>
      <w:pPr>
        <w:pStyle w:val="ListBullet"/>
      </w:pPr>
      <w:r>
        <w:rPr>
          <w:rFonts w:ascii="Times New Roman" w:hAnsi="Times New Roman"/>
          <w:sz w:val="20"/>
        </w:rPr>
        <w:t>Wettbewerbsverbot post-termination: 12 Monate, Entschädigung 50 Prozent. Series-A-Term-Sheet will 24 Monate. Frage an Partnerin: Reicht eine Ergänzungsvereinbarung oder muss der Anstellungsvertrag neu gefasst werden?</w:t>
      </w:r>
    </w:p>
    <w:p>
      <w:pPr>
        <w:pStyle w:val="ListBullet"/>
      </w:pPr>
      <w:r>
        <w:rPr>
          <w:rFonts w:ascii="Times New Roman" w:hAnsi="Times New Roman"/>
          <w:sz w:val="20"/>
        </w:rPr>
        <w:t>D&amp;O-Versicherung: nicht erwähnt.</w:t>
      </w:r>
    </w:p>
    <w:p/>
    <w:p>
      <w:pPr>
        <w:pStyle w:val="Heading3"/>
      </w:pPr>
      <w:r>
        <w:t>D.2 Mitarbeiter</w:t>
      </w:r>
    </w:p>
    <w:p/>
    <w:p>
      <w:pPr>
        <w:spacing w:after="80"/>
        <w:jc w:val="both"/>
      </w:pPr>
      <w:r>
        <w:rPr>
          <w:rFonts w:ascii="Times New Roman" w:hAnsi="Times New Roman"/>
          <w:sz w:val="21"/>
        </w:rPr>
        <w:t>48 Mitarbeiter, alle in Deutschland angestellt. Keine Betriebsräte. Keine Tarifbindung.</w:t>
      </w:r>
    </w:p>
    <w:p/>
    <w:p>
      <w:pPr>
        <w:pStyle w:val="Heading3"/>
      </w:pPr>
      <w:r>
        <w:t>D.3 Whistleblowing</w:t>
      </w:r>
    </w:p>
    <w:p/>
    <w:p>
      <w:pPr>
        <w:spacing w:after="80"/>
        <w:jc w:val="both"/>
      </w:pPr>
      <w:r>
        <w:rPr>
          <w:rFonts w:ascii="Times New Roman" w:hAnsi="Times New Roman"/>
          <w:sz w:val="21"/>
        </w:rPr>
        <w:t>Hinweisgebersystem nach HinSchG existiert nicht. Die Gesellschaft hat 48 Mitarbeiter, Schwellenwert 50 ist gerade nicht erreicht. Soll bei Closing dokumentiert werden ("borderline compliance").</w:t>
      </w:r>
    </w:p>
    <w:p/>
    <w:p/>
    <w:p/>
    <w:p>
      <w:pPr>
        <w:pStyle w:val="Heading2"/>
      </w:pPr>
      <w:r>
        <w:t>E Commercial Findings</w:t>
      </w:r>
    </w:p>
    <w:p/>
    <w:p>
      <w:pPr>
        <w:pStyle w:val="Heading3"/>
      </w:pPr>
      <w:r>
        <w:t>E.1 Enterprise-Kunde mit Change-of-Control-Klausel</w:t>
      </w:r>
    </w:p>
    <w:p/>
    <w:p>
      <w:pPr>
        <w:spacing w:after="80"/>
        <w:jc w:val="both"/>
      </w:pPr>
      <w:r>
        <w:rPr>
          <w:rFonts w:ascii="Times New Roman" w:hAnsi="Times New Roman"/>
          <w:sz w:val="21"/>
        </w:rPr>
        <w:t>Vertrag mit Mertensbrüder &amp; Co. KG vom 14.08.2025, Auftragsvolumen 1,4 Mio. EUR p.a. Klausel: "The customer may terminate this agreement with immediate effect upon any change of control affecting more than 50 percent of the voting rights of the supplier."</w:t>
      </w:r>
    </w:p>
    <w:p/>
    <w:p>
      <w:pPr>
        <w:spacing w:after="80"/>
        <w:jc w:val="both"/>
      </w:pPr>
      <w:r>
        <w:rPr>
          <w:rFonts w:ascii="Times New Roman" w:hAnsi="Times New Roman"/>
          <w:sz w:val="21"/>
        </w:rPr>
        <w:t>Frage: Ist die Series-A-Runde ein Change of Control? — In der Regel nicht, da die Gründer vor und nach Closing weiterhin die Stimmenmehrheit auf Stammkapitalebene halten. Aber: Wenn man die Reserved Matters und den Investor-Director-Sitz wirtschaftlich einbezieht, kann ein Gericht eine andere Sicht haben. Maßnahme: Vorab ein Waiver oder zumindest eine Notification an Mertensbrüder.</w:t>
      </w:r>
    </w:p>
    <w:p/>
    <w:p>
      <w:pPr>
        <w:pStyle w:val="Heading3"/>
      </w:pPr>
      <w:r>
        <w:t>E.2 Lieferantenverträge</w:t>
      </w:r>
    </w:p>
    <w:p/>
    <w:p>
      <w:pPr>
        <w:spacing w:after="80"/>
        <w:jc w:val="both"/>
      </w:pPr>
      <w:r>
        <w:rPr>
          <w:rFonts w:ascii="Times New Roman" w:hAnsi="Times New Roman"/>
          <w:sz w:val="21"/>
        </w:rPr>
        <w:t>Ein wesentlicher Cloud-Vertrag (Frachtkosten-Cloud GmbH) hat eine 24-monatige Restlaufzeit und keine ordentliche Kündigung. Risiko: keine.</w:t>
      </w:r>
    </w:p>
    <w:p/>
    <w:p>
      <w:pPr>
        <w:pStyle w:val="Heading3"/>
      </w:pPr>
      <w:r>
        <w:t>E.3 Partnerships</w:t>
      </w:r>
    </w:p>
    <w:p/>
    <w:p>
      <w:pPr>
        <w:spacing w:after="80"/>
        <w:jc w:val="both"/>
      </w:pPr>
      <w:r>
        <w:rPr>
          <w:rFonts w:ascii="Times New Roman" w:hAnsi="Times New Roman"/>
          <w:sz w:val="21"/>
        </w:rPr>
        <w:t>Joint-Development-Agreement mit Echolot-Beratungs-GmbH, das eine Exklusivität im DACH-Markt vorsieht. Risiko: Konflikt mit Northbridge-Wunsch nach internationaler Skalierung. Frage an Mandantin und ggf. Anpassung.</w:t>
      </w:r>
    </w:p>
    <w:p/>
    <w:p/>
    <w:p/>
    <w:p>
      <w:pPr>
        <w:pStyle w:val="Heading2"/>
      </w:pPr>
      <w:r>
        <w:t>F Tax Findings</w:t>
      </w:r>
    </w:p>
    <w:p/>
    <w:p>
      <w:pPr>
        <w:pStyle w:val="Heading3"/>
      </w:pPr>
      <w:r>
        <w:t>F.1 Wandeldarlehen Tante Ermelind</w:t>
      </w:r>
    </w:p>
    <w:p/>
    <w:p>
      <w:pPr>
        <w:spacing w:after="80"/>
        <w:jc w:val="both"/>
      </w:pPr>
      <w:r>
        <w:rPr>
          <w:rFonts w:ascii="Times New Roman" w:hAnsi="Times New Roman"/>
          <w:sz w:val="21"/>
        </w:rPr>
        <w:t>Steuerliche Behandlung der PIK-Zinsen aus Sicht der Gesellschaft: Aufwand. Aus Sicht Tante Ermelind: jährlich zu versteuernder Zinsertrag, ungeachtet der Fälligkeit. Im Datenraum keine Steuerbescheinigung. Frage an Tante Ermelind via Notariat: Wurden die PIK-Zinsen jährlich versteuert?</w:t>
      </w:r>
    </w:p>
    <w:p/>
    <w:p>
      <w:pPr>
        <w:pStyle w:val="Heading3"/>
      </w:pPr>
      <w:r>
        <w:t>F.2 § 8c KStG / § 8d KStG</w:t>
      </w:r>
    </w:p>
    <w:p/>
    <w:p>
      <w:pPr>
        <w:spacing w:after="80"/>
        <w:jc w:val="both"/>
      </w:pPr>
      <w:r>
        <w:rPr>
          <w:rFonts w:ascii="Times New Roman" w:hAnsi="Times New Roman"/>
          <w:sz w:val="21"/>
        </w:rPr>
        <w:t>Verlustvorträge Stand 31.12.2025: ca. EUR 4,2 Mio. Risiko: Series-A-Runde führt zu schädlichem Beteiligungserwerb gemäß § 8c Abs. 1 KStG bei Überschreitung der 50-Prozent-Schwelle. Da Northbridge plus Tante-Ermelind-Wandlung in Summe einen wesentlichen Beteiligungserwerb darstellt, ist eine Prüfung erforderlich. Optionen:</w:t>
      </w:r>
    </w:p>
    <w:p/>
    <w:p>
      <w:pPr>
        <w:pStyle w:val="ListBullet"/>
      </w:pPr>
      <w:r>
        <w:rPr>
          <w:rFonts w:ascii="Times New Roman" w:hAnsi="Times New Roman"/>
          <w:sz w:val="20"/>
        </w:rPr>
        <w:t>Anwendung des fortführungsgebundenen Verlustvortrags gemäß § 8d KStG (Antrag erforderlich, strikte Voraussetzungen).</w:t>
      </w:r>
    </w:p>
    <w:p>
      <w:pPr>
        <w:pStyle w:val="ListBullet"/>
      </w:pPr>
      <w:r>
        <w:rPr>
          <w:rFonts w:ascii="Times New Roman" w:hAnsi="Times New Roman"/>
          <w:sz w:val="20"/>
        </w:rPr>
        <w:t>Reorganisationsklausel gemäß § 8c Abs. 1a KStG (nicht einschlägig, da kein Sanierungsfall).</w:t>
      </w:r>
    </w:p>
    <w:p>
      <w:pPr>
        <w:pStyle w:val="ListBullet"/>
      </w:pPr>
      <w:r>
        <w:rPr>
          <w:rFonts w:ascii="Times New Roman" w:hAnsi="Times New Roman"/>
          <w:sz w:val="20"/>
        </w:rPr>
        <w:t>Stille-Reserven-Klausel gemäß § 8c Abs. 1 Satz 4 ff. KStG (Prüfung).</w:t>
      </w:r>
    </w:p>
    <w:p/>
    <w:p>
      <w:pPr>
        <w:spacing w:after="80"/>
        <w:jc w:val="both"/>
      </w:pPr>
      <w:r>
        <w:rPr>
          <w:rFonts w:ascii="Times New Roman" w:hAnsi="Times New Roman"/>
          <w:sz w:val="21"/>
        </w:rPr>
        <w:t>Hildemar: "Das gehört eigentlich an die Steuer-Praxisgruppe. Ich notiere es als DD-Red-Flag und überlasse den Mechanismus den Steuerleuten."</w:t>
      </w:r>
    </w:p>
    <w:p/>
    <w:p>
      <w:pPr>
        <w:pStyle w:val="Heading3"/>
      </w:pPr>
      <w:r>
        <w:t>F.3 Umsatzsteuer</w:t>
      </w:r>
    </w:p>
    <w:p/>
    <w:p>
      <w:pPr>
        <w:spacing w:after="80"/>
        <w:jc w:val="both"/>
      </w:pPr>
      <w:r>
        <w:rPr>
          <w:rFonts w:ascii="Times New Roman" w:hAnsi="Times New Roman"/>
          <w:sz w:val="21"/>
        </w:rPr>
        <w:t>Keine Auffälligkeiten.</w:t>
      </w:r>
    </w:p>
    <w:p/>
    <w:p/>
    <w:p/>
    <w:p>
      <w:pPr>
        <w:pStyle w:val="Heading2"/>
      </w:pPr>
      <w:r>
        <w:t>G Litigation Findings</w:t>
      </w:r>
    </w:p>
    <w:p/>
    <w:p>
      <w:pPr>
        <w:spacing w:after="80"/>
        <w:jc w:val="both"/>
      </w:pPr>
      <w:r>
        <w:rPr>
          <w:rFonts w:ascii="Times New Roman" w:hAnsi="Times New Roman"/>
          <w:sz w:val="21"/>
        </w:rPr>
        <w:t>Eine arbeitsgerichtliche Klage einer ehemaligen Praktikantin (Streitwert EUR 8.400) anhängig vor dem ArbG Frankfurt am Main. Risiko: gering. Disclosure nötig.</w:t>
      </w:r>
    </w:p>
    <w:p/>
    <w:p/>
    <w:p/>
    <w:p>
      <w:pPr>
        <w:pStyle w:val="Heading2"/>
      </w:pPr>
      <w:r>
        <w:t>H Data Protection Findings</w:t>
      </w:r>
    </w:p>
    <w:p/>
    <w:p>
      <w:pPr>
        <w:spacing w:after="80"/>
        <w:jc w:val="both"/>
      </w:pPr>
      <w:r>
        <w:rPr>
          <w:rFonts w:ascii="Times New Roman" w:hAnsi="Times New Roman"/>
          <w:sz w:val="21"/>
        </w:rPr>
        <w:t>DSGVO-Verzeichnis von Verarbeitungstätigkeiten existiert, ist aber zwölf Monate alt. Datenschutzbeauftragter intern bestellt (CFO Olaf), was bei 48 Mitarbeitern grundsätzlich zulässig ist, aber der Lead Investor wird wahrscheinlich einen externen DSB verlangen.</w:t>
      </w:r>
    </w:p>
    <w:p/>
    <w:p/>
    <w:p/>
    <w:p>
      <w:pPr>
        <w:pStyle w:val="Heading2"/>
      </w:pPr>
      <w:r>
        <w:t>I Insurance Findings</w:t>
      </w:r>
    </w:p>
    <w:p/>
    <w:p>
      <w:pPr>
        <w:spacing w:after="80"/>
        <w:jc w:val="both"/>
      </w:pPr>
      <w:r>
        <w:rPr>
          <w:rFonts w:ascii="Times New Roman" w:hAnsi="Times New Roman"/>
          <w:sz w:val="21"/>
        </w:rPr>
        <w:t>D&amp;O-Versicherung existiert (Deckung EUR 3 Mio.), aber Selbstbehalt 25.000 EUR und ausdrücklicher Ausschluss "Anspruche von Gesellschaftern gegen Geschäftsführer im Zusammenhang mit Kapitalmaßnahmen". Risiko: hoch bei künftigen Investor-Director-Sitzen. Maßnahme: Side-A-Erweiterung oder neue Police vor Closing.</w:t>
      </w:r>
    </w:p>
    <w:p/>
    <w:p/>
    <w:p/>
    <w:p>
      <w:pPr>
        <w:pStyle w:val="Heading2"/>
      </w:pPr>
      <w:r>
        <w:t>J Fragenkatalog an die Mandantin Kunigunde</w:t>
      </w:r>
    </w:p>
    <w:p/>
    <w:p>
      <w:pPr>
        <w:pStyle w:val="ListNumber"/>
      </w:pPr>
      <w:r>
        <w:rPr>
          <w:rFonts w:ascii="Times New Roman" w:hAnsi="Times New Roman"/>
          <w:sz w:val="20"/>
        </w:rPr>
        <w:t>Heißt fully diluted, dass ich sofort weniger Anteile habe?</w:t>
      </w:r>
    </w:p>
    <w:p>
      <w:pPr>
        <w:pStyle w:val="ListNumber"/>
      </w:pPr>
      <w:r>
        <w:rPr>
          <w:rFonts w:ascii="Times New Roman" w:hAnsi="Times New Roman"/>
          <w:sz w:val="20"/>
        </w:rPr>
        <w:t>Ist Liquidation Preference nur relevant, wenn die GmbH pleitegeht?</w:t>
      </w:r>
    </w:p>
    <w:p>
      <w:pPr>
        <w:pStyle w:val="ListNumber"/>
      </w:pPr>
      <w:r>
        <w:rPr>
          <w:rFonts w:ascii="Times New Roman" w:hAnsi="Times New Roman"/>
          <w:sz w:val="20"/>
        </w:rPr>
        <w:t>Können wir ein englisches Investment Agreement unter deutschem Recht unterschreiben?</w:t>
      </w:r>
    </w:p>
    <w:p>
      <w:pPr>
        <w:pStyle w:val="ListNumber"/>
      </w:pPr>
      <w:r>
        <w:rPr>
          <w:rFonts w:ascii="Times New Roman" w:hAnsi="Times New Roman"/>
          <w:sz w:val="20"/>
        </w:rPr>
        <w:t>Bedeutet Bad Leaver, dass mir alles weggenommen werden kann?</w:t>
      </w:r>
    </w:p>
    <w:p>
      <w:pPr>
        <w:pStyle w:val="ListNumber"/>
      </w:pPr>
      <w:r>
        <w:rPr>
          <w:rFonts w:ascii="Times New Roman" w:hAnsi="Times New Roman"/>
          <w:sz w:val="20"/>
        </w:rPr>
        <w:t>Ist Investor Director dasselbe wie ein Beiratsmitglied?</w:t>
      </w:r>
    </w:p>
    <w:p>
      <w:pPr>
        <w:pStyle w:val="ListNumber"/>
      </w:pPr>
      <w:r>
        <w:rPr>
          <w:rFonts w:ascii="Times New Roman" w:hAnsi="Times New Roman"/>
          <w:sz w:val="20"/>
        </w:rPr>
        <w:t>Warum ist der Cap Table nicht einfach die Gesellschafterliste?</w:t>
      </w:r>
    </w:p>
    <w:p>
      <w:pPr>
        <w:pStyle w:val="ListNumber"/>
      </w:pPr>
      <w:r>
        <w:rPr>
          <w:rFonts w:ascii="Times New Roman" w:hAnsi="Times New Roman"/>
          <w:sz w:val="20"/>
        </w:rPr>
        <w:t>Was muss der Notar sehen?</w:t>
      </w:r>
    </w:p>
    <w:p>
      <w:pPr>
        <w:pStyle w:val="ListNumber"/>
      </w:pPr>
      <w:r>
        <w:rPr>
          <w:rFonts w:ascii="Times New Roman" w:hAnsi="Times New Roman"/>
          <w:sz w:val="20"/>
        </w:rPr>
        <w:t>Bedeutet "covenant", dass wir etwas versprechen — und wenn ja, wem genau?</w:t>
      </w:r>
    </w:p>
    <w:p>
      <w:pPr>
        <w:pStyle w:val="ListNumber"/>
      </w:pPr>
      <w:r>
        <w:rPr>
          <w:rFonts w:ascii="Times New Roman" w:hAnsi="Times New Roman"/>
          <w:sz w:val="20"/>
        </w:rPr>
        <w:t>Was passiert mit unseren Verlustvorträgen?</w:t>
      </w:r>
    </w:p>
    <w:p>
      <w:pPr>
        <w:pStyle w:val="ListNumber"/>
      </w:pPr>
      <w:r>
        <w:rPr>
          <w:rFonts w:ascii="Times New Roman" w:hAnsi="Times New Roman"/>
          <w:sz w:val="20"/>
        </w:rPr>
        <w:t>Wenn Mertensbrüder kündigt, ist das ein "MAC"?</w:t>
      </w:r>
    </w:p>
    <w:p>
      <w:pPr>
        <w:pStyle w:val="ListNumber"/>
      </w:pPr>
      <w:r>
        <w:rPr>
          <w:rFonts w:ascii="Times New Roman" w:hAnsi="Times New Roman"/>
          <w:sz w:val="20"/>
        </w:rPr>
        <w:t>Tante Ermelind ist beleidigt, weil wir sie nicht beurkundet zur Gesellschafterin gemacht haben. Was sage ich ihr?</w:t>
      </w:r>
    </w:p>
    <w:p>
      <w:pPr>
        <w:pStyle w:val="ListNumber"/>
      </w:pPr>
      <w:r>
        <w:rPr>
          <w:rFonts w:ascii="Times New Roman" w:hAnsi="Times New Roman"/>
          <w:sz w:val="20"/>
        </w:rPr>
        <w:t>Wenn der Investor Director gegen den Budget-Beschluss stimmt, kann ich ihn dann überstimmen?</w:t>
      </w:r>
    </w:p>
    <w:p/>
    <w:p/>
    <w:p/>
    <w:p>
      <w:pPr>
        <w:pStyle w:val="Heading2"/>
      </w:pPr>
      <w:r>
        <w:t>K Hildemars Bewertung (intern, nicht für den Datenraum)</w:t>
      </w:r>
    </w:p>
    <w:p/>
    <w:p>
      <w:pPr>
        <w:spacing w:after="80"/>
        <w:jc w:val="both"/>
      </w:pPr>
      <w:r>
        <w:rPr>
          <w:rFonts w:ascii="Times New Roman" w:hAnsi="Times New Roman"/>
          <w:sz w:val="21"/>
        </w:rPr>
        <w:t>Hauptrisiken in absteigender Reihenfolge für das Deal-Closing:</w:t>
      </w:r>
    </w:p>
    <w:p/>
    <w:p>
      <w:pPr>
        <w:pStyle w:val="ListNumber"/>
      </w:pPr>
      <w:r>
        <w:rPr>
          <w:rFonts w:ascii="Times New Roman" w:hAnsi="Times New Roman"/>
          <w:sz w:val="20"/>
        </w:rPr>
        <w:t>IP-Rechteübertragung "work made for hire" (kann gefixt werden, aber kostet Zeit).</w:t>
      </w:r>
    </w:p>
    <w:p>
      <w:pPr>
        <w:pStyle w:val="ListNumber"/>
      </w:pPr>
      <w:r>
        <w:rPr>
          <w:rFonts w:ascii="Times New Roman" w:hAnsi="Times New Roman"/>
          <w:sz w:val="20"/>
        </w:rPr>
        <w:t>§ 8c KStG Verlustvortrag (kostet Geld, falls keine Sicherung).</w:t>
      </w:r>
    </w:p>
    <w:p>
      <w:pPr>
        <w:pStyle w:val="ListNumber"/>
      </w:pPr>
      <w:r>
        <w:rPr>
          <w:rFonts w:ascii="Times New Roman" w:hAnsi="Times New Roman"/>
          <w:sz w:val="20"/>
        </w:rPr>
        <w:t>Mertensbrüder-Change-of-Control-Klausel (Waiver erforderlich).</w:t>
      </w:r>
    </w:p>
    <w:p>
      <w:pPr>
        <w:pStyle w:val="ListNumber"/>
      </w:pPr>
      <w:r>
        <w:rPr>
          <w:rFonts w:ascii="Times New Roman" w:hAnsi="Times New Roman"/>
          <w:sz w:val="20"/>
        </w:rPr>
        <w:t>Beurkundungsbedarf der Wandlung Tante Ermelind (logistisch handhabbar, aber Notar-Slots eng).</w:t>
      </w:r>
    </w:p>
    <w:p>
      <w:pPr>
        <w:pStyle w:val="ListNumber"/>
      </w:pPr>
      <w:r>
        <w:rPr>
          <w:rFonts w:ascii="Times New Roman" w:hAnsi="Times New Roman"/>
          <w:sz w:val="20"/>
        </w:rPr>
        <w:t>Vinkulierungs-/Drag-Mehrheiten-Konflikt zwischen Satzung und Term Sheet.</w:t>
      </w:r>
    </w:p>
    <w:p>
      <w:pPr>
        <w:pStyle w:val="ListNumber"/>
      </w:pPr>
      <w:r>
        <w:rPr>
          <w:rFonts w:ascii="Times New Roman" w:hAnsi="Times New Roman"/>
          <w:sz w:val="20"/>
        </w:rPr>
        <w:t>D&amp;O-Ausschluss "Kapitalmaßnahmen" (Versicherer ansprechen).</w:t>
      </w:r>
    </w:p>
    <w:p>
      <w:pPr>
        <w:pStyle w:val="ListNumber"/>
      </w:pPr>
      <w:r>
        <w:rPr>
          <w:rFonts w:ascii="Times New Roman" w:hAnsi="Times New Roman"/>
          <w:sz w:val="20"/>
        </w:rPr>
        <w:t>AGPL-Komponenten.</w:t>
      </w:r>
    </w:p>
    <w:p>
      <w:pPr>
        <w:pStyle w:val="ListNumber"/>
      </w:pPr>
      <w:r>
        <w:rPr>
          <w:rFonts w:ascii="Times New Roman" w:hAnsi="Times New Roman"/>
          <w:sz w:val="20"/>
        </w:rPr>
        <w:t>Vesting-Reset und Cliff-Diskussion.</w:t>
      </w:r>
    </w:p>
    <w:p/>
    <w:p>
      <w:pPr>
        <w:spacing w:after="80"/>
        <w:jc w:val="both"/>
      </w:pPr>
      <w:r>
        <w:rPr>
          <w:rFonts w:ascii="Times New Roman" w:hAnsi="Times New Roman"/>
          <w:sz w:val="21"/>
        </w:rPr>
        <w:t>Empfehlung: Disclosure Schedule mit allen acht Punkten an Brackenmuir übergeben, bevor das erste Markup zurückkommt. Adelheid muss vor jeder Mandantenkommunikation gegenzeichnen.</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