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10 Wandeldarlehen Tante Ermelind Capital UG</w:t>
      </w:r>
    </w:p>
    <w:p/>
    <w:p>
      <w:pPr>
        <w:pStyle w:val="Heading2"/>
      </w:pPr>
      <w:r>
        <w:t>Convertible Loan Agreement, Stand 21.11.2024</w:t>
      </w:r>
    </w:p>
    <w:p/>
    <w:p>
      <w:pPr>
        <w:spacing w:after="80"/>
        <w:jc w:val="both"/>
      </w:pPr>
      <w:r>
        <w:rPr>
          <w:rFonts w:ascii="Times New Roman" w:hAnsi="Times New Roman"/>
          <w:sz w:val="21"/>
        </w:rPr>
        <w:t>Parties</w:t>
      </w:r>
    </w:p>
    <w:p/>
    <w:p>
      <w:pPr>
        <w:spacing w:after="80"/>
        <w:jc w:val="both"/>
      </w:pPr>
      <w:r>
        <w:rPr>
          <w:rFonts w:ascii="Times New Roman" w:hAnsi="Times New Roman"/>
          <w:sz w:val="21"/>
        </w:rPr>
        <w:t>(1) Tante Ermelind Capital UG (haftungsbeschränkt), mit Sitz in Bad Homburg vor der Höhe, eingetragen im Handelsregister des Amtsgerichts Bad Homburg unter HRB 19488, vertreten durch ihren Geschäftsführer Onkel Friedrich Stein („Lender")</w:t>
      </w:r>
    </w:p>
    <w:p/>
    <w:p>
      <w:pPr>
        <w:spacing w:after="80"/>
        <w:jc w:val="both"/>
      </w:pPr>
      <w:r>
        <w:rPr>
          <w:rFonts w:ascii="Times New Roman" w:hAnsi="Times New Roman"/>
          <w:sz w:val="21"/>
        </w:rPr>
        <w:t>(2) Kometenfalter Systems GmbH, mit Sitz in Frankfurt am Main, eingetragen im Handelsregister des Amtsgerichts Frankfurt am Main unter HRB 137422, vertreten durch ihre Geschäftsführer Kunigunde Reiter und Meinhard Voss („Company")</w:t>
      </w:r>
    </w:p>
    <w:p/>
    <w:p>
      <w:pPr>
        <w:spacing w:after="80"/>
        <w:jc w:val="both"/>
      </w:pPr>
      <w:r>
        <w:rPr>
          <w:rFonts w:ascii="Times New Roman" w:hAnsi="Times New Roman"/>
          <w:sz w:val="21"/>
        </w:rPr>
        <w:t>Recitals</w:t>
      </w:r>
    </w:p>
    <w:p/>
    <w:p>
      <w:pPr>
        <w:spacing w:after="80"/>
        <w:jc w:val="both"/>
      </w:pPr>
      <w:r>
        <w:rPr>
          <w:rFonts w:ascii="Times New Roman" w:hAnsi="Times New Roman"/>
          <w:sz w:val="21"/>
        </w:rPr>
        <w:t>The Lender intends to support the Company prior to its Series A financing. The Parties agree on a convertible loan with conversion into shares upon the next Qualified Financing.</w:t>
      </w:r>
    </w:p>
    <w:p/>
    <w:p>
      <w:pPr>
        <w:pStyle w:val="Heading2"/>
      </w:pPr>
      <w:r>
        <w:t>Section 1 Loan Amount and Disbursement</w:t>
      </w:r>
    </w:p>
    <w:p/>
    <w:p>
      <w:pPr>
        <w:spacing w:after="80"/>
        <w:jc w:val="both"/>
      </w:pPr>
      <w:r>
        <w:rPr>
          <w:rFonts w:ascii="Times New Roman" w:hAnsi="Times New Roman"/>
          <w:sz w:val="21"/>
        </w:rPr>
        <w:t>1.1 The Lender shall grant a convertible loan in the principal amount of EUR 600,000.00 (six hundred thousand Euro) (the Principal).</w:t>
      </w:r>
    </w:p>
    <w:p/>
    <w:p>
      <w:pPr>
        <w:spacing w:after="80"/>
        <w:jc w:val="both"/>
      </w:pPr>
      <w:r>
        <w:rPr>
          <w:rFonts w:ascii="Times New Roman" w:hAnsi="Times New Roman"/>
          <w:sz w:val="21"/>
        </w:rPr>
        <w:t>1.2 The Principal shall be disbursed to the Company's bank account at Frankfurter Volksbank (IBAN DE89 3704 0044 0532 0130 00) within ten banking days after signing.</w:t>
      </w:r>
    </w:p>
    <w:p/>
    <w:p>
      <w:pPr>
        <w:pStyle w:val="Heading2"/>
      </w:pPr>
      <w:r>
        <w:t>Section 2 Interest</w:t>
      </w:r>
    </w:p>
    <w:p/>
    <w:p>
      <w:pPr>
        <w:spacing w:after="80"/>
        <w:jc w:val="both"/>
      </w:pPr>
      <w:r>
        <w:rPr>
          <w:rFonts w:ascii="Times New Roman" w:hAnsi="Times New Roman"/>
          <w:sz w:val="21"/>
        </w:rPr>
        <w:t>2.1 The Principal shall bear interest at a rate of 8 percent per annum (actual/365), accruing from the date of disbursement.</w:t>
      </w:r>
    </w:p>
    <w:p/>
    <w:p>
      <w:pPr>
        <w:spacing w:after="80"/>
        <w:jc w:val="both"/>
      </w:pPr>
      <w:r>
        <w:rPr>
          <w:rFonts w:ascii="Times New Roman" w:hAnsi="Times New Roman"/>
          <w:sz w:val="21"/>
        </w:rPr>
        <w:t>2.2 Accrued interest shall be added to the Principal upon Conversion (PIK).</w:t>
      </w:r>
    </w:p>
    <w:p/>
    <w:p>
      <w:pPr>
        <w:pStyle w:val="Heading2"/>
      </w:pPr>
      <w:r>
        <w:t>Section 3 Conversion upon Qualified Financing</w:t>
      </w:r>
    </w:p>
    <w:p/>
    <w:p>
      <w:pPr>
        <w:spacing w:after="80"/>
        <w:jc w:val="both"/>
      </w:pPr>
      <w:r>
        <w:rPr>
          <w:rFonts w:ascii="Times New Roman" w:hAnsi="Times New Roman"/>
          <w:sz w:val="21"/>
        </w:rPr>
        <w:t>3.1 A Qualified Financing is the next equity financing of the Company in which new shares are issued for an aggregate amount of not less than EUR 3,000,000.00.</w:t>
      </w:r>
    </w:p>
    <w:p/>
    <w:p>
      <w:pPr>
        <w:spacing w:after="80"/>
        <w:jc w:val="both"/>
      </w:pPr>
      <w:r>
        <w:rPr>
          <w:rFonts w:ascii="Times New Roman" w:hAnsi="Times New Roman"/>
          <w:sz w:val="21"/>
        </w:rPr>
        <w:t>3.2 Upon the occurrence of a Qualified Financing, the Principal together with accrued interest shall convert into newly issued shares of the Company at the lower of:</w:t>
      </w:r>
    </w:p>
    <w:p/>
    <w:p>
      <w:pPr>
        <w:spacing w:after="80"/>
        <w:jc w:val="both"/>
      </w:pPr>
      <w:r>
        <w:rPr>
          <w:rFonts w:ascii="Times New Roman" w:hAnsi="Times New Roman"/>
          <w:sz w:val="21"/>
        </w:rPr>
        <w:t xml:space="preserve">   (a) the price per share of the Qualified Financing reduced by a discount of 20 percent, or</w:t>
      </w:r>
    </w:p>
    <w:p/>
    <w:p>
      <w:pPr>
        <w:spacing w:after="80"/>
        <w:jc w:val="both"/>
      </w:pPr>
      <w:r>
        <w:rPr>
          <w:rFonts w:ascii="Times New Roman" w:hAnsi="Times New Roman"/>
          <w:sz w:val="21"/>
        </w:rPr>
        <w:t xml:space="preserve">   (b) the price per share derived from a pre-money valuation of EUR 10,000,000.00 on a fully diluted basis (the Valuation Cap).</w:t>
      </w:r>
    </w:p>
    <w:p/>
    <w:p>
      <w:pPr>
        <w:spacing w:after="80"/>
        <w:jc w:val="both"/>
      </w:pPr>
      <w:r>
        <w:rPr>
          <w:rFonts w:ascii="Times New Roman" w:hAnsi="Times New Roman"/>
          <w:sz w:val="21"/>
        </w:rPr>
        <w:t>3.3 The Company shall procure that the lenders (gemeinsam mit allen weiteren Convertibles) participate in the long-form documents of the Qualified Financing.</w:t>
      </w:r>
    </w:p>
    <w:p/>
    <w:p>
      <w:pPr>
        <w:pStyle w:val="Heading2"/>
      </w:pPr>
      <w:r>
        <w:t>Section 4 Maturity and Mandatory Conversion</w:t>
      </w:r>
    </w:p>
    <w:p/>
    <w:p>
      <w:pPr>
        <w:spacing w:after="80"/>
        <w:jc w:val="both"/>
      </w:pPr>
      <w:r>
        <w:rPr>
          <w:rFonts w:ascii="Times New Roman" w:hAnsi="Times New Roman"/>
          <w:sz w:val="21"/>
        </w:rPr>
        <w:t>4.1 The Loan shall mature on 31.12.2026.</w:t>
      </w:r>
    </w:p>
    <w:p/>
    <w:p>
      <w:pPr>
        <w:spacing w:after="80"/>
        <w:jc w:val="both"/>
      </w:pPr>
      <w:r>
        <w:rPr>
          <w:rFonts w:ascii="Times New Roman" w:hAnsi="Times New Roman"/>
          <w:sz w:val="21"/>
        </w:rPr>
        <w:t>4.2 If no Qualified Financing has occurred by the Maturity Date, the Company shall, at the election of the Lender, either repay the Principal plus accrued interest or convert the Loan into Common Shares at a price per share based on a pre-money valuation of EUR 8,000,000.00 on a fully diluted basis.</w:t>
      </w:r>
    </w:p>
    <w:p/>
    <w:p>
      <w:pPr>
        <w:pStyle w:val="Heading2"/>
      </w:pPr>
      <w:r>
        <w:t>Section 5 Change of Control</w:t>
      </w:r>
    </w:p>
    <w:p/>
    <w:p>
      <w:pPr>
        <w:spacing w:after="80"/>
        <w:jc w:val="both"/>
      </w:pPr>
      <w:r>
        <w:rPr>
          <w:rFonts w:ascii="Times New Roman" w:hAnsi="Times New Roman"/>
          <w:sz w:val="21"/>
        </w:rPr>
        <w:t>5.1 In the event of a Change of Control prior to a Qualified Financing, the Lender shall be entitled to receive at its option either (i) repayment of two times the Principal plus accrued interest or (ii) conversion into Common Shares at the Valuation Cap.</w:t>
      </w:r>
    </w:p>
    <w:p/>
    <w:p>
      <w:pPr>
        <w:pStyle w:val="Heading2"/>
      </w:pPr>
      <w:r>
        <w:t>Section 6 Information Rights</w:t>
      </w:r>
    </w:p>
    <w:p/>
    <w:p>
      <w:pPr>
        <w:spacing w:after="80"/>
        <w:jc w:val="both"/>
      </w:pPr>
      <w:r>
        <w:rPr>
          <w:rFonts w:ascii="Times New Roman" w:hAnsi="Times New Roman"/>
          <w:sz w:val="21"/>
        </w:rPr>
        <w:t>6.1 The Company shall deliver to the Lender quarterly unaudited financial statements within forty-five days after the end of each quarter and annual audited financial statements within one hundred twenty days after the end of each fiscal year.</w:t>
      </w:r>
    </w:p>
    <w:p/>
    <w:p>
      <w:pPr>
        <w:pStyle w:val="Heading2"/>
      </w:pPr>
      <w:r>
        <w:t>Section 7 Most Favoured Lender</w:t>
      </w:r>
    </w:p>
    <w:p/>
    <w:p>
      <w:pPr>
        <w:spacing w:after="80"/>
        <w:jc w:val="both"/>
      </w:pPr>
      <w:r>
        <w:rPr>
          <w:rFonts w:ascii="Times New Roman" w:hAnsi="Times New Roman"/>
          <w:sz w:val="21"/>
        </w:rPr>
        <w:t>7.1 If the Company enters into any other convertible loan or SAFE on terms more favourable to the holder than those set out in this Agreement, the Company shall offer the Lender to adopt such more favourable terms (MFL).</w:t>
      </w:r>
    </w:p>
    <w:p/>
    <w:p>
      <w:pPr>
        <w:pStyle w:val="Heading2"/>
      </w:pPr>
      <w:r>
        <w:t>Section 8 Miscellaneous</w:t>
      </w:r>
    </w:p>
    <w:p/>
    <w:p>
      <w:pPr>
        <w:spacing w:after="80"/>
        <w:jc w:val="both"/>
      </w:pPr>
      <w:r>
        <w:rPr>
          <w:rFonts w:ascii="Times New Roman" w:hAnsi="Times New Roman"/>
          <w:sz w:val="21"/>
        </w:rPr>
        <w:t>8.1 This Agreement shall be governed by German law without regard to its conflict of laws provisions.</w:t>
      </w:r>
    </w:p>
    <w:p/>
    <w:p>
      <w:pPr>
        <w:spacing w:after="80"/>
        <w:jc w:val="both"/>
      </w:pPr>
      <w:r>
        <w:rPr>
          <w:rFonts w:ascii="Times New Roman" w:hAnsi="Times New Roman"/>
          <w:sz w:val="21"/>
        </w:rPr>
        <w:t>8.2 Exclusive place of jurisdiction shall be Frankfurt am Main, sofern zulässig.</w:t>
      </w:r>
    </w:p>
    <w:p/>
    <w:p>
      <w:pPr>
        <w:spacing w:after="80"/>
        <w:jc w:val="both"/>
      </w:pPr>
      <w:r>
        <w:rPr>
          <w:rFonts w:ascii="Times New Roman" w:hAnsi="Times New Roman"/>
          <w:sz w:val="21"/>
        </w:rPr>
        <w:t>8.3 Form requirements under German law shall apply. The Parties acknowledge that to the extent any provisions of this Agreement constitute an obligation to transfer or acquire Geschäftsanteile within the meaning of Section 15 GmbHG, such provisions may require notarisation. The Parties undertake to procure such notarisation upon request and at the cost of the requesting party.</w:t>
      </w:r>
    </w:p>
    <w:p/>
    <w:p>
      <w:pPr>
        <w:spacing w:after="80"/>
        <w:jc w:val="both"/>
      </w:pPr>
      <w:r>
        <w:rPr>
          <w:rFonts w:ascii="Times New Roman" w:hAnsi="Times New Roman"/>
          <w:sz w:val="21"/>
        </w:rPr>
        <w:t>8.4 Should any provision of this Agreement be or become invalid, the validity of the remaining provisions shall not be affected.</w:t>
      </w:r>
    </w:p>
    <w:p/>
    <w:p>
      <w:pPr>
        <w:spacing w:after="80"/>
        <w:jc w:val="both"/>
      </w:pPr>
      <w:r>
        <w:rPr>
          <w:rFonts w:ascii="Times New Roman" w:hAnsi="Times New Roman"/>
          <w:sz w:val="21"/>
        </w:rPr>
        <w:t>Signatures (DocuSign)</w:t>
      </w:r>
    </w:p>
    <w:p/>
    <w:p>
      <w:pPr>
        <w:pStyle w:val="ListBullet"/>
      </w:pPr>
      <w:r>
        <w:rPr>
          <w:rFonts w:ascii="Times New Roman" w:hAnsi="Times New Roman"/>
          <w:sz w:val="20"/>
        </w:rPr>
        <w:t>Tante Ermelind Capital UG (haftungsbeschränkt), Onkel Friedrich Stein, signed 21.11.2024 14:08 CET</w:t>
      </w:r>
    </w:p>
    <w:p>
      <w:pPr>
        <w:pStyle w:val="ListBullet"/>
      </w:pPr>
      <w:r>
        <w:rPr>
          <w:rFonts w:ascii="Times New Roman" w:hAnsi="Times New Roman"/>
          <w:sz w:val="20"/>
        </w:rPr>
        <w:t>Kometenfalter Systems GmbH, Kunigunde Reiter, signed 21.11.2024 14:21 CET</w:t>
      </w:r>
    </w:p>
    <w:p>
      <w:pPr>
        <w:pStyle w:val="ListBullet"/>
      </w:pPr>
      <w:r>
        <w:rPr>
          <w:rFonts w:ascii="Times New Roman" w:hAnsi="Times New Roman"/>
          <w:sz w:val="20"/>
        </w:rPr>
        <w:t>Kometenfalter Systems GmbH, Meinhard Voss, signed 21.11.2024 14:33 CET</w:t>
      </w:r>
    </w:p>
    <w:p/>
    <w:p/>
    <w:p/>
    <w:p>
      <w:pPr>
        <w:pStyle w:val="Heading2"/>
      </w:pPr>
      <w:r>
        <w:t>Associate-Vermerk Hildemar K., 27.05.2026, 09:15</w:t>
      </w:r>
    </w:p>
    <w:p/>
    <w:p>
      <w:pPr>
        <w:spacing w:after="80"/>
        <w:jc w:val="both"/>
      </w:pPr>
      <w:r>
        <w:rPr>
          <w:rFonts w:ascii="Times New Roman" w:hAnsi="Times New Roman"/>
          <w:sz w:val="21"/>
        </w:rPr>
        <w:t>Was mich nervös macht an diesem Dokument:</w:t>
      </w:r>
    </w:p>
    <w:p/>
    <w:p>
      <w:pPr>
        <w:pStyle w:val="ListNumber"/>
      </w:pPr>
      <w:r>
        <w:rPr>
          <w:rFonts w:ascii="Times New Roman" w:hAnsi="Times New Roman"/>
          <w:sz w:val="20"/>
        </w:rPr>
        <w:t>Form. Ziffer 8.3 erkennt zwar an, dass eine Beurkundung erforderlich sein kann, macht sie aber nicht. Die Wandlungsklausel in Ziffer 3 enthält eine ausreichend konkrete Verpflichtung zur Übernahme neuer Geschäftsanteile in einer künftigen Kapitalerhöhung. Nach herrschender Auffassung kann das die Form von Paragraf 15 Absatz 4 GmbHG bzw. die Form der Übernahmeerklärung nach Paragraf 55 GmbHG auslösen. Vor Closing zu prüfen.</w:t>
      </w:r>
    </w:p>
    <w:p/>
    <w:p>
      <w:pPr>
        <w:pStyle w:val="ListNumber"/>
      </w:pPr>
      <w:r>
        <w:rPr>
          <w:rFonts w:ascii="Times New Roman" w:hAnsi="Times New Roman"/>
          <w:sz w:val="20"/>
        </w:rPr>
        <w:t>MFL. Ziffer 7 (Most Favoured Lender) ist breit formuliert. Wenn im Term Sheet eine andere Wandlungsformel auftaucht (Discount 25 Prozent statt 20 Prozent), könnte das eine Anpassung zugunsten der Lender bewirken. Prüfen, ob Stahlauge Ventures GmbH ähnliche Klauseln hat.</w:t>
      </w:r>
    </w:p>
    <w:p/>
    <w:p>
      <w:pPr>
        <w:pStyle w:val="ListNumber"/>
      </w:pPr>
      <w:r>
        <w:rPr>
          <w:rFonts w:ascii="Times New Roman" w:hAnsi="Times New Roman"/>
          <w:sz w:val="20"/>
        </w:rPr>
        <w:t>Change of Control. Ziffer 5 enthält ein 2x-Rückkaufsrecht im Falle eines Verkaufs vor Wandlung. Im Term Sheet ist die geplante Series A nicht als Change of Control klassifiziert, aber im Datenraum liegt ein Kundenvertrag mit Change-of-Control-Kündigungsrecht (siehe Datei 05). Doppelte Prüfung.</w:t>
      </w:r>
    </w:p>
    <w:p/>
    <w:p>
      <w:pPr>
        <w:pStyle w:val="ListNumber"/>
      </w:pPr>
      <w:r>
        <w:rPr>
          <w:rFonts w:ascii="Times New Roman" w:hAnsi="Times New Roman"/>
          <w:sz w:val="20"/>
        </w:rPr>
        <w:t>Maturity. Ziffer 4.2 sieht eine Pflichtwandlung am 31.12.2026 vor, ohne Qualified Financing. Wenn Closing nicht bis 31.12.2026 erfolgt, automatische Wandlung zum Bewertungsanker 8 Mio. EUR. Das ist deutlich unter dem aktuellen Pre-Money. Closing-Termin und Long-Stop-Date 15.09.2026 sind kompatibel, aber im Verzögerungsszenario problematisch.</w:t>
      </w:r>
    </w:p>
    <w:p/>
    <w:p>
      <w:pPr>
        <w:pStyle w:val="ListNumber"/>
      </w:pPr>
      <w:r>
        <w:rPr>
          <w:rFonts w:ascii="Times New Roman" w:hAnsi="Times New Roman"/>
          <w:sz w:val="20"/>
        </w:rPr>
        <w:t>Information Rights. Ziffer 6 läuft parallel zu den Information Rights aus Seed-SHA und Series-A-SHA. Bei späteren Runden Sammelinformation prüfen.</w:t>
      </w:r>
    </w:p>
    <w:p/>
    <w:p>
      <w:pPr>
        <w:pStyle w:val="ListNumber"/>
      </w:pPr>
      <w:r>
        <w:rPr>
          <w:rFonts w:ascii="Times New Roman" w:hAnsi="Times New Roman"/>
          <w:sz w:val="20"/>
        </w:rPr>
        <w:t>Disclosure. Das Wandeldarlehen ist in der Gesellschafterliste nicht sichtbar, im Datenraum nur unter „Other Material Agreements" abgelegt. Investor Counsel wird das in der DD nachfragen.</w:t>
      </w:r>
    </w:p>
    <w:p/>
    <w:p>
      <w:pPr>
        <w:pStyle w:val="ListNumber"/>
      </w:pPr>
      <w:r>
        <w:rPr>
          <w:rFonts w:ascii="Times New Roman" w:hAnsi="Times New Roman"/>
          <w:sz w:val="20"/>
        </w:rPr>
        <w:t>Zinsfrage. 8 Prozent p.a. (actual/365) PIK-Zinsen. Steuerliche Behandlung mit Steuerberatung abstimmen, insbesondere im Wandlungszeitpunkt.</w:t>
      </w:r>
    </w:p>
    <w:p/>
    <w:p>
      <w:pPr>
        <w:pStyle w:val="ListNumber"/>
      </w:pPr>
      <w:r>
        <w:rPr>
          <w:rFonts w:ascii="Times New Roman" w:hAnsi="Times New Roman"/>
          <w:sz w:val="20"/>
        </w:rPr>
        <w:t>Jurisdiction. Ziffer 8.2 enthält das übliche „sofern zulässig". Bei Verbraucherbeteiligung wäre Onkel Friedrich Stein als Geschäftsführer der UG kein Verbraucher; aber prüfen, ob der wirtschaftliche Hintermann nicht doch als Verbraucher behandelt werden müsste.</w:t>
      </w:r>
    </w:p>
    <w:p/>
    <w:p>
      <w:pPr>
        <w:spacing w:after="80"/>
        <w:jc w:val="both"/>
      </w:pPr>
      <w:r>
        <w:rPr>
          <w:rFonts w:ascii="Times New Roman" w:hAnsi="Times New Roman"/>
          <w:sz w:val="21"/>
        </w:rPr>
        <w:t>To do vor Term-Sheet-Antwort:</w:t>
      </w:r>
    </w:p>
    <w:p/>
    <w:p>
      <w:pPr>
        <w:pStyle w:val="ListBullet"/>
      </w:pPr>
      <w:r>
        <w:rPr>
          <w:rFonts w:ascii="Times New Roman" w:hAnsi="Times New Roman"/>
          <w:sz w:val="20"/>
        </w:rPr>
        <w:t>Wandlungsszenario zur Series A rechnen (4,8 Mio. EUR Investment, 12 Mio. EUR Pre-Money fully diluted).</w:t>
      </w:r>
    </w:p>
    <w:p>
      <w:pPr>
        <w:pStyle w:val="ListBullet"/>
      </w:pPr>
      <w:r>
        <w:rPr>
          <w:rFonts w:ascii="Times New Roman" w:hAnsi="Times New Roman"/>
          <w:sz w:val="20"/>
        </w:rPr>
        <w:t>Convertible-Klauseln im Series-A-SHA spiegeln (Pari passu? Senior? Pro-rata bei Down-Round?).</w:t>
      </w:r>
    </w:p>
    <w:p>
      <w:pPr>
        <w:pStyle w:val="ListBullet"/>
      </w:pPr>
      <w:r>
        <w:rPr>
          <w:rFonts w:ascii="Times New Roman" w:hAnsi="Times New Roman"/>
          <w:sz w:val="20"/>
        </w:rPr>
        <w:t>Notariatsslot für etwaige Nachbeurkundung im Notariat Schwartz vorab reservieren.</w:t>
      </w:r>
    </w:p>
    <w:p/>
    <w:p>
      <w:pPr>
        <w:pStyle w:val="Heading2"/>
      </w:pPr>
      <w:r>
        <w:t>Wandlungsrechnung (Skizze für Senior-Review)</w:t>
      </w:r>
    </w:p>
    <w:p/>
    <w:p>
      <w:pPr>
        <w:spacing w:after="80"/>
        <w:jc w:val="both"/>
      </w:pPr>
      <w:r>
        <w:rPr>
          <w:rFonts w:ascii="Times New Roman" w:hAnsi="Times New Roman"/>
          <w:sz w:val="21"/>
        </w:rPr>
        <w:t>Annahme Series A: 5,2 Mio. EUR Investment, Pre-Money 12 Mio. EUR fully diluted, Post-Money 17,2 Mio. EUR (vor Pool-Shuffle). Pool wird auf 12 Prozent post-money equivalent gehoben (pre-money-Shuffle).</w:t>
      </w:r>
    </w:p>
    <w:p/>
    <w:p>
      <w:pPr>
        <w:spacing w:after="80"/>
        <w:jc w:val="both"/>
      </w:pPr>
      <w:r>
        <w:rPr>
          <w:rFonts w:ascii="Times New Roman" w:hAnsi="Times New Roman"/>
          <w:sz w:val="21"/>
        </w:rPr>
        <w:t>Skizze:</w:t>
      </w:r>
    </w:p>
    <w:p/>
    <w:p>
      <w:pPr>
        <w:pStyle w:val="ListBullet"/>
      </w:pPr>
      <w:r>
        <w:rPr>
          <w:rFonts w:ascii="Times New Roman" w:hAnsi="Times New Roman"/>
          <w:sz w:val="20"/>
        </w:rPr>
        <w:t>Principal bei Wandlung: 600.000 EUR plus aufgelaufene Zinsen ca. 100.000 EUR über knapp zwei Jahre (8 Prozent p.a., PIK). Gerundeter Effektivbetrag 696.000 EUR.</w:t>
      </w:r>
    </w:p>
    <w:p>
      <w:pPr>
        <w:pStyle w:val="ListBullet"/>
      </w:pPr>
      <w:r>
        <w:rPr>
          <w:rFonts w:ascii="Times New Roman" w:hAnsi="Times New Roman"/>
          <w:sz w:val="20"/>
        </w:rPr>
        <w:t>Variante (a) Discount: Series-A-Preis minus 20 Prozent. Effektiver Preis je Anteil etwa 80 Prozent des Series-A-Preises.</w:t>
      </w:r>
    </w:p>
    <w:p>
      <w:pPr>
        <w:pStyle w:val="ListBullet"/>
      </w:pPr>
      <w:r>
        <w:rPr>
          <w:rFonts w:ascii="Times New Roman" w:hAnsi="Times New Roman"/>
          <w:sz w:val="20"/>
        </w:rPr>
        <w:t>Variante (b) Valuation Cap: Preis je Anteil aus Bewertung 10 Mio. EUR auf fully diluted Basis.</w:t>
      </w:r>
    </w:p>
    <w:p/>
    <w:p>
      <w:pPr>
        <w:spacing w:after="80"/>
        <w:jc w:val="both"/>
      </w:pPr>
      <w:r>
        <w:rPr>
          <w:rFonts w:ascii="Times New Roman" w:hAnsi="Times New Roman"/>
          <w:sz w:val="21"/>
        </w:rPr>
        <w:t>Für die genaue Anteilszahl ist die Anzahl der zugrundezulegenden ausstehenden Anteile zum Wandlungszeitpunkt erforderlich. Diese Zahl ist im Cap Table v18.05.2026 noch nicht stabilisiert und Gegenstand der laufenden Prüfung.</w:t>
      </w:r>
    </w:p>
    <w:p/>
    <w:p>
      <w:pPr>
        <w:spacing w:after="80"/>
        <w:jc w:val="both"/>
      </w:pPr>
      <w:r>
        <w:rPr>
          <w:rFonts w:ascii="Times New Roman" w:hAnsi="Times New Roman"/>
          <w:sz w:val="21"/>
        </w:rPr>
        <w:t>Aus Sicht des Lenders gilt der niedrigere Preis der beiden Varianten. Bei einem Series-A-Pre-Money von 12 Mio. EUR fully diluted liegt der Valuation Cap unter 10 Mio. EUR Pre-Money, mithin im Vorteil des Lenders. Erwartete Anteilszahl daher aus Variante (b) heraus zu rechnen.</w:t>
      </w:r>
    </w:p>
    <w:p/>
    <w:p>
      <w:pPr>
        <w:spacing w:after="80"/>
        <w:jc w:val="both"/>
      </w:pPr>
      <w:r>
        <w:rPr>
          <w:rFonts w:ascii="Times New Roman" w:hAnsi="Times New Roman"/>
          <w:sz w:val="21"/>
        </w:rPr>
        <w:t>Senior-Review-Gate für die genaue Anteilszahl im Closing-Modell. Mandantin Kunigunde explizit auf den Effekt aufmerksam machen: Tante Ermelind erhält rechnerisch mehr Anteile als ein bei aktueller Series A neu eintretender Investor.</w:t>
      </w:r>
    </w:p>
    <w:sectPr w:rsidR="00FC693F" w:rsidRPr="0006063C" w:rsidSect="00034616">
      <w:headerReference w:type="default" r:id="rId9"/>
      <w:footerReference w:type="default" r:id="rId10"/>
      <w:pgSz w:w="11909" w:h="16834"/>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t>Kometenfalter Systems GmbH — internes Arbeitsmaterial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Hagemann &amp; Westarp | Project Comet Moth | vertraulich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