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12 Notar Checkliste und Handelsregisterlogik</w:t>
      </w:r>
    </w:p>
    <w:p/>
    <w:p>
      <w:pPr>
        <w:pStyle w:val="Heading2"/>
      </w:pPr>
      <w:r>
        <w:t>Notariat und Termin</w:t>
      </w:r>
    </w:p>
    <w:p/>
    <w:tbl>
      <w:tblPr>
        <w:tblStyle w:val="TableGrid"/>
        <w:tblW w:type="auto" w:w="0"/>
        <w:jc w:val="center"/>
        <w:tblLook w:firstColumn="1" w:firstRow="1" w:lastColumn="0" w:lastRow="0" w:noHBand="0" w:noVBand="1" w:val="04A0"/>
      </w:tblPr>
      <w:tblGrid>
        <w:gridCol w:w="4831"/>
        <w:gridCol w:w="4831"/>
      </w:tblGrid>
      <w:tr>
        <w:tc>
          <w:tcPr>
            <w:tcW w:type="dxa" w:w="4831"/>
            <w:vAlign w:val="center"/>
            <w:tcMar>
              <w:top w:w="90" w:type="dxa"/>
              <w:start w:w="90" w:type="dxa"/>
              <w:bottom w:w="90" w:type="dxa"/>
              <w:end w:w="90" w:type="dxa"/>
            </w:tcMar>
            <w:shd w:fill="E8EEF7"/>
          </w:tcPr>
          <w:p>
            <w:r>
              <w:rPr>
                <w:rFonts w:ascii="Times New Roman" w:hAnsi="Times New Roman"/>
                <w:b/>
                <w:sz w:val="17"/>
              </w:rPr>
              <w:t>Punkt</w:t>
            </w:r>
          </w:p>
        </w:tc>
        <w:tc>
          <w:tcPr>
            <w:tcW w:type="dxa" w:w="4831"/>
            <w:vAlign w:val="center"/>
            <w:tcMar>
              <w:top w:w="90" w:type="dxa"/>
              <w:start w:w="90" w:type="dxa"/>
              <w:bottom w:w="90" w:type="dxa"/>
              <w:end w:w="90" w:type="dxa"/>
            </w:tcMar>
            <w:shd w:fill="E8EEF7"/>
          </w:tcPr>
          <w:p>
            <w:r>
              <w:rPr>
                <w:rFonts w:ascii="Times New Roman" w:hAnsi="Times New Roman"/>
                <w:b/>
                <w:sz w:val="17"/>
              </w:rPr>
              <w:t>Status</w:t>
            </w:r>
          </w:p>
        </w:tc>
      </w:tr>
      <w:tr>
        <w:tc>
          <w:tcPr>
            <w:tcW w:type="dxa" w:w="4831"/>
            <w:vAlign w:val="center"/>
            <w:tcMar>
              <w:top w:w="90" w:type="dxa"/>
              <w:start w:w="90" w:type="dxa"/>
              <w:bottom w:w="90" w:type="dxa"/>
              <w:end w:w="90" w:type="dxa"/>
            </w:tcMar>
          </w:tcPr>
          <w:p>
            <w:r>
              <w:rPr>
                <w:rFonts w:ascii="Times New Roman" w:hAnsi="Times New Roman"/>
                <w:sz w:val="17"/>
              </w:rPr>
              <w:t>Notariat</w:t>
            </w:r>
          </w:p>
        </w:tc>
        <w:tc>
          <w:tcPr>
            <w:tcW w:type="dxa" w:w="4831"/>
            <w:vAlign w:val="center"/>
            <w:tcMar>
              <w:top w:w="90" w:type="dxa"/>
              <w:start w:w="90" w:type="dxa"/>
              <w:bottom w:w="90" w:type="dxa"/>
              <w:end w:w="90" w:type="dxa"/>
            </w:tcMar>
          </w:tcPr>
          <w:p>
            <w:r>
              <w:rPr>
                <w:rFonts w:ascii="Times New Roman" w:hAnsi="Times New Roman"/>
                <w:sz w:val="17"/>
              </w:rPr>
              <w:t>Notariat Schwartz, Frankfurt am Main, Dr. Edelgard Schwartz</w:t>
            </w:r>
          </w:p>
        </w:tc>
      </w:tr>
      <w:tr>
        <w:tc>
          <w:tcPr>
            <w:tcW w:type="dxa" w:w="4831"/>
            <w:vAlign w:val="center"/>
            <w:tcMar>
              <w:top w:w="90" w:type="dxa"/>
              <w:start w:w="90" w:type="dxa"/>
              <w:bottom w:w="90" w:type="dxa"/>
              <w:end w:w="90" w:type="dxa"/>
            </w:tcMar>
          </w:tcPr>
          <w:p>
            <w:r>
              <w:rPr>
                <w:rFonts w:ascii="Times New Roman" w:hAnsi="Times New Roman"/>
                <w:sz w:val="17"/>
              </w:rPr>
              <w:t>Slot Beurkundung</w:t>
            </w:r>
          </w:p>
        </w:tc>
        <w:tc>
          <w:tcPr>
            <w:tcW w:type="dxa" w:w="4831"/>
            <w:vAlign w:val="center"/>
            <w:tcMar>
              <w:top w:w="90" w:type="dxa"/>
              <w:start w:w="90" w:type="dxa"/>
              <w:bottom w:w="90" w:type="dxa"/>
              <w:end w:w="90" w:type="dxa"/>
            </w:tcMar>
          </w:tcPr>
          <w:p>
            <w:r>
              <w:rPr>
                <w:rFonts w:ascii="Times New Roman" w:hAnsi="Times New Roman"/>
                <w:sz w:val="17"/>
              </w:rPr>
              <w:t>Donnerstag, 16.07.2026, 09:00 bis 14:00, Saal A</w:t>
            </w:r>
          </w:p>
        </w:tc>
      </w:tr>
      <w:tr>
        <w:tc>
          <w:tcPr>
            <w:tcW w:type="dxa" w:w="4831"/>
            <w:vAlign w:val="center"/>
            <w:tcMar>
              <w:top w:w="90" w:type="dxa"/>
              <w:start w:w="90" w:type="dxa"/>
              <w:bottom w:w="90" w:type="dxa"/>
              <w:end w:w="90" w:type="dxa"/>
            </w:tcMar>
          </w:tcPr>
          <w:p>
            <w:r>
              <w:rPr>
                <w:rFonts w:ascii="Times New Roman" w:hAnsi="Times New Roman"/>
                <w:sz w:val="17"/>
              </w:rPr>
              <w:t>Vorbesprechungstermin</w:t>
            </w:r>
          </w:p>
        </w:tc>
        <w:tc>
          <w:tcPr>
            <w:tcW w:type="dxa" w:w="4831"/>
            <w:vAlign w:val="center"/>
            <w:tcMar>
              <w:top w:w="90" w:type="dxa"/>
              <w:start w:w="90" w:type="dxa"/>
              <w:bottom w:w="90" w:type="dxa"/>
              <w:end w:w="90" w:type="dxa"/>
            </w:tcMar>
          </w:tcPr>
          <w:p>
            <w:r>
              <w:rPr>
                <w:rFonts w:ascii="Times New Roman" w:hAnsi="Times New Roman"/>
                <w:sz w:val="17"/>
              </w:rPr>
              <w:t>Montag, 13.07.2026, 11:00 (per Video)</w:t>
            </w:r>
          </w:p>
        </w:tc>
      </w:tr>
      <w:tr>
        <w:tc>
          <w:tcPr>
            <w:tcW w:type="dxa" w:w="4831"/>
            <w:vAlign w:val="center"/>
            <w:tcMar>
              <w:top w:w="90" w:type="dxa"/>
              <w:start w:w="90" w:type="dxa"/>
              <w:bottom w:w="90" w:type="dxa"/>
              <w:end w:w="90" w:type="dxa"/>
            </w:tcMar>
          </w:tcPr>
          <w:p>
            <w:r>
              <w:rPr>
                <w:rFonts w:ascii="Times New Roman" w:hAnsi="Times New Roman"/>
                <w:sz w:val="17"/>
              </w:rPr>
              <w:t>Beurkundungssprache</w:t>
            </w:r>
          </w:p>
        </w:tc>
        <w:tc>
          <w:tcPr>
            <w:tcW w:type="dxa" w:w="4831"/>
            <w:vAlign w:val="center"/>
            <w:tcMar>
              <w:top w:w="90" w:type="dxa"/>
              <w:start w:w="90" w:type="dxa"/>
              <w:bottom w:w="90" w:type="dxa"/>
              <w:end w:w="90" w:type="dxa"/>
            </w:tcMar>
          </w:tcPr>
          <w:p>
            <w:r>
              <w:rPr>
                <w:rFonts w:ascii="Times New Roman" w:hAnsi="Times New Roman"/>
                <w:sz w:val="17"/>
              </w:rPr>
              <w:t>Deutsch</w:t>
            </w:r>
          </w:p>
        </w:tc>
      </w:tr>
      <w:tr>
        <w:tc>
          <w:tcPr>
            <w:tcW w:type="dxa" w:w="4831"/>
            <w:vAlign w:val="center"/>
            <w:tcMar>
              <w:top w:w="90" w:type="dxa"/>
              <w:start w:w="90" w:type="dxa"/>
              <w:bottom w:w="90" w:type="dxa"/>
              <w:end w:w="90" w:type="dxa"/>
            </w:tcMar>
          </w:tcPr>
          <w:p>
            <w:r>
              <w:rPr>
                <w:rFonts w:ascii="Times New Roman" w:hAnsi="Times New Roman"/>
                <w:sz w:val="17"/>
              </w:rPr>
              <w:t>Begleitende Übersetzung Englisch</w:t>
            </w:r>
          </w:p>
        </w:tc>
        <w:tc>
          <w:tcPr>
            <w:tcW w:type="dxa" w:w="4831"/>
            <w:vAlign w:val="center"/>
            <w:tcMar>
              <w:top w:w="90" w:type="dxa"/>
              <w:start w:w="90" w:type="dxa"/>
              <w:bottom w:w="90" w:type="dxa"/>
              <w:end w:w="90" w:type="dxa"/>
            </w:tcMar>
          </w:tcPr>
          <w:p>
            <w:r>
              <w:rPr>
                <w:rFonts w:ascii="Times New Roman" w:hAnsi="Times New Roman"/>
                <w:sz w:val="17"/>
              </w:rPr>
              <w:t>ja, für Mandantin Kunigunde Reiter und Northbridge-Vertreter</w:t>
            </w:r>
          </w:p>
        </w:tc>
      </w:tr>
      <w:tr>
        <w:tc>
          <w:tcPr>
            <w:tcW w:type="dxa" w:w="4831"/>
            <w:vAlign w:val="center"/>
            <w:tcMar>
              <w:top w:w="90" w:type="dxa"/>
              <w:start w:w="90" w:type="dxa"/>
              <w:bottom w:w="90" w:type="dxa"/>
              <w:end w:w="90" w:type="dxa"/>
            </w:tcMar>
          </w:tcPr>
          <w:p>
            <w:r>
              <w:rPr>
                <w:rFonts w:ascii="Times New Roman" w:hAnsi="Times New Roman"/>
                <w:sz w:val="17"/>
              </w:rPr>
              <w:t>Vollmachten Investoren</w:t>
            </w:r>
          </w:p>
        </w:tc>
        <w:tc>
          <w:tcPr>
            <w:tcW w:type="dxa" w:w="4831"/>
            <w:vAlign w:val="center"/>
            <w:tcMar>
              <w:top w:w="90" w:type="dxa"/>
              <w:start w:w="90" w:type="dxa"/>
              <w:bottom w:w="90" w:type="dxa"/>
              <w:end w:w="90" w:type="dxa"/>
            </w:tcMar>
          </w:tcPr>
          <w:p>
            <w:r>
              <w:rPr>
                <w:rFonts w:ascii="Times New Roman" w:hAnsi="Times New Roman"/>
                <w:sz w:val="17"/>
              </w:rPr>
              <w:t>ausstehend, müssen vor Beurkundung in beglaubigter Form vorliegen</w:t>
            </w:r>
          </w:p>
        </w:tc>
      </w:tr>
      <w:tr>
        <w:tc>
          <w:tcPr>
            <w:tcW w:type="dxa" w:w="4831"/>
            <w:vAlign w:val="center"/>
            <w:tcMar>
              <w:top w:w="90" w:type="dxa"/>
              <w:start w:w="90" w:type="dxa"/>
              <w:bottom w:w="90" w:type="dxa"/>
              <w:end w:w="90" w:type="dxa"/>
            </w:tcMar>
          </w:tcPr>
          <w:p>
            <w:r>
              <w:rPr>
                <w:rFonts w:ascii="Times New Roman" w:hAnsi="Times New Roman"/>
                <w:sz w:val="17"/>
              </w:rPr>
              <w:t>Apostillen</w:t>
            </w:r>
          </w:p>
        </w:tc>
        <w:tc>
          <w:tcPr>
            <w:tcW w:type="dxa" w:w="4831"/>
            <w:vAlign w:val="center"/>
            <w:tcMar>
              <w:top w:w="90" w:type="dxa"/>
              <w:start w:w="90" w:type="dxa"/>
              <w:bottom w:w="90" w:type="dxa"/>
              <w:end w:w="90" w:type="dxa"/>
            </w:tcMar>
          </w:tcPr>
          <w:p>
            <w:r>
              <w:rPr>
                <w:rFonts w:ascii="Times New Roman" w:hAnsi="Times New Roman"/>
                <w:sz w:val="17"/>
              </w:rPr>
              <w:t>für Vollmacht der luxemburgischen Northbridge SCS, beglaubigt durch luxemburgisches Notariat, mit Apostille nach Haager Übereinkommen, Frist beachten</w:t>
            </w:r>
          </w:p>
        </w:tc>
      </w:tr>
      <w:tr>
        <w:tc>
          <w:tcPr>
            <w:tcW w:type="dxa" w:w="4831"/>
            <w:vAlign w:val="center"/>
            <w:tcMar>
              <w:top w:w="90" w:type="dxa"/>
              <w:start w:w="90" w:type="dxa"/>
              <w:bottom w:w="90" w:type="dxa"/>
              <w:end w:w="90" w:type="dxa"/>
            </w:tcMar>
          </w:tcPr>
          <w:p>
            <w:r>
              <w:rPr>
                <w:rFonts w:ascii="Times New Roman" w:hAnsi="Times New Roman"/>
                <w:sz w:val="17"/>
              </w:rPr>
              <w:t>Beglaubigte Übersetzung Englisch-Deutsch</w:t>
            </w:r>
          </w:p>
        </w:tc>
        <w:tc>
          <w:tcPr>
            <w:tcW w:type="dxa" w:w="4831"/>
            <w:vAlign w:val="center"/>
            <w:tcMar>
              <w:top w:w="90" w:type="dxa"/>
              <w:start w:w="90" w:type="dxa"/>
              <w:bottom w:w="90" w:type="dxa"/>
              <w:end w:w="90" w:type="dxa"/>
            </w:tcMar>
          </w:tcPr>
          <w:p>
            <w:r>
              <w:rPr>
                <w:rFonts w:ascii="Times New Roman" w:hAnsi="Times New Roman"/>
                <w:sz w:val="17"/>
              </w:rPr>
              <w:t>für Vollmachten, soweit englisch ausgestellt</w:t>
            </w:r>
          </w:p>
        </w:tc>
      </w:tr>
    </w:tbl>
    <w:p/>
    <w:p/>
    <w:p>
      <w:pPr>
        <w:pStyle w:val="Heading2"/>
      </w:pPr>
      <w:r>
        <w:t>Beurkundungspflichtige Vorgänge</w:t>
      </w:r>
    </w:p>
    <w:p/>
    <w:p>
      <w:pPr>
        <w:pStyle w:val="Heading3"/>
      </w:pPr>
      <w:r>
        <w:t>Erste Beurkundung — Kapitalerhöhungsbeschluss und Satzungsänderung</w:t>
      </w:r>
    </w:p>
    <w:p/>
    <w:p>
      <w:pPr>
        <w:pStyle w:val="ListNumber"/>
      </w:pPr>
      <w:r>
        <w:rPr>
          <w:rFonts w:ascii="Times New Roman" w:hAnsi="Times New Roman"/>
          <w:sz w:val="20"/>
        </w:rPr>
        <w:t>Gesellschafterversammlung der Kometenfalter Systems GmbH zur Beschlussfassung über:</w:t>
      </w:r>
    </w:p>
    <w:p>
      <w:pPr>
        <w:pStyle w:val="ListBullet"/>
      </w:pPr>
      <w:r>
        <w:rPr>
          <w:rFonts w:ascii="Times New Roman" w:hAnsi="Times New Roman"/>
          <w:sz w:val="20"/>
        </w:rPr>
        <w:t>Erhöhung des Stammkapitals von 30.000 EUR um neue Geschäftsanteile (Anzahl noch zu bestimmen, abhängig von Pool-Shuffle und Convertible-Wandlung).</w:t>
      </w:r>
    </w:p>
    <w:p>
      <w:pPr>
        <w:pStyle w:val="ListBullet"/>
      </w:pPr>
      <w:r>
        <w:rPr>
          <w:rFonts w:ascii="Times New Roman" w:hAnsi="Times New Roman"/>
          <w:sz w:val="20"/>
        </w:rPr>
        <w:t>Anpassung des Stammkapitals und der Geschäftsanteile nach Wandlung des Tante-Ermelind-Convertibles, soweit diese vor oder gleichzeitig mit der Series-A-Eintragung erfolgt.</w:t>
      </w:r>
    </w:p>
    <w:p>
      <w:pPr>
        <w:pStyle w:val="ListBullet"/>
      </w:pPr>
      <w:r>
        <w:rPr>
          <w:rFonts w:ascii="Times New Roman" w:hAnsi="Times New Roman"/>
          <w:sz w:val="20"/>
        </w:rPr>
        <w:t>Änderung der Satzung in Paragraf 4 (Stammkapital), Paragraf 6 (Vinkulierung), Paragraf 8 (Beschlussmehrheiten Veto-Themen), Paragraf 11 (Beirat) und Paragraf 12 neu (Vorzugsrechte Series A).</w:t>
      </w:r>
    </w:p>
    <w:p>
      <w:pPr>
        <w:pStyle w:val="ListBullet"/>
      </w:pPr>
      <w:r>
        <w:rPr>
          <w:rFonts w:ascii="Times New Roman" w:hAnsi="Times New Roman"/>
          <w:sz w:val="20"/>
        </w:rPr>
        <w:t>Bestellung des Investor Director in den Beirat.</w:t>
      </w:r>
    </w:p>
    <w:p>
      <w:pPr>
        <w:pStyle w:val="ListBullet"/>
      </w:pPr>
      <w:r>
        <w:rPr>
          <w:rFonts w:ascii="Times New Roman" w:hAnsi="Times New Roman"/>
          <w:sz w:val="20"/>
        </w:rPr>
        <w:t>Aufstockung des Beirats von 3 auf 5 Mitglieder.</w:t>
      </w:r>
    </w:p>
    <w:p>
      <w:pPr>
        <w:pStyle w:val="ListBullet"/>
      </w:pPr>
      <w:r>
        <w:rPr>
          <w:rFonts w:ascii="Times New Roman" w:hAnsi="Times New Roman"/>
          <w:sz w:val="20"/>
        </w:rPr>
        <w:t>Genehmigung des SHA als satzungsergänzender Vereinbarung.</w:t>
      </w:r>
    </w:p>
    <w:p>
      <w:pPr>
        <w:pStyle w:val="ListNumber"/>
      </w:pPr>
      <w:r>
        <w:rPr>
          <w:rFonts w:ascii="Times New Roman" w:hAnsi="Times New Roman"/>
          <w:sz w:val="20"/>
        </w:rPr>
        <w:t>Übernahmeerklärungen der neuen Investoren nach Paragraf 55 GmbHG.</w:t>
      </w:r>
    </w:p>
    <w:p>
      <w:pPr>
        <w:pStyle w:val="ListNumber"/>
      </w:pPr>
      <w:r>
        <w:rPr>
          <w:rFonts w:ascii="Times New Roman" w:hAnsi="Times New Roman"/>
          <w:sz w:val="20"/>
        </w:rPr>
        <w:t>Neue Gesellschafterliste nach Paragraf 40 GmbHG, vom Notar einzureichen.</w:t>
      </w:r>
    </w:p>
    <w:p>
      <w:pPr>
        <w:pStyle w:val="ListNumber"/>
      </w:pPr>
      <w:r>
        <w:rPr>
          <w:rFonts w:ascii="Times New Roman" w:hAnsi="Times New Roman"/>
          <w:sz w:val="20"/>
        </w:rPr>
        <w:t>Anmeldung der Kapitalerhöhung zum Handelsregister durch Geschäftsführer mit Erklärungen zur Einlageleistung nach Paragraf 57 GmbHG.</w:t>
      </w:r>
    </w:p>
    <w:p/>
    <w:p>
      <w:pPr>
        <w:pStyle w:val="Heading3"/>
      </w:pPr>
      <w:r>
        <w:t>Zweite Beurkundung — Wandlung Convertible Tante Ermelind</w:t>
      </w:r>
    </w:p>
    <w:p/>
    <w:p>
      <w:pPr>
        <w:pStyle w:val="ListNumber"/>
      </w:pPr>
      <w:r>
        <w:rPr>
          <w:rFonts w:ascii="Times New Roman" w:hAnsi="Times New Roman"/>
          <w:sz w:val="20"/>
        </w:rPr>
        <w:t>Übernahmeerklärung Tante Ermelind Capital UG für gewandelte Geschäftsanteile.</w:t>
      </w:r>
    </w:p>
    <w:p>
      <w:pPr>
        <w:pStyle w:val="ListNumber"/>
      </w:pPr>
      <w:r>
        <w:rPr>
          <w:rFonts w:ascii="Times New Roman" w:hAnsi="Times New Roman"/>
          <w:sz w:val="20"/>
        </w:rPr>
        <w:t>Genehmigung durch Gesellschafterversammlung.</w:t>
      </w:r>
    </w:p>
    <w:p>
      <w:pPr>
        <w:pStyle w:val="ListNumber"/>
      </w:pPr>
      <w:r>
        <w:rPr>
          <w:rFonts w:ascii="Times New Roman" w:hAnsi="Times New Roman"/>
          <w:sz w:val="20"/>
        </w:rPr>
        <w:t>Eintragung im Rahmen der Kapitalerhöhung.</w:t>
      </w:r>
    </w:p>
    <w:p/>
    <w:p>
      <w:pPr>
        <w:pStyle w:val="Heading3"/>
      </w:pPr>
      <w:r>
        <w:t>Dritte Beurkundung — Anteilsabtretung Stahlauge Seed-Bestand</w:t>
      </w:r>
    </w:p>
    <w:p/>
    <w:p>
      <w:pPr>
        <w:pStyle w:val="ListNumber"/>
      </w:pPr>
      <w:r>
        <w:rPr>
          <w:rFonts w:ascii="Times New Roman" w:hAnsi="Times New Roman"/>
          <w:sz w:val="20"/>
        </w:rPr>
        <w:t>Soweit notwendig für die Anpassung der Beteiligungsstruktur bei Pool-Shuffle.</w:t>
      </w:r>
    </w:p>
    <w:p>
      <w:pPr>
        <w:pStyle w:val="ListNumber"/>
      </w:pPr>
      <w:r>
        <w:rPr>
          <w:rFonts w:ascii="Times New Roman" w:hAnsi="Times New Roman"/>
          <w:sz w:val="20"/>
        </w:rPr>
        <w:t>Häufiger Punkt: Stahlauge will Bestätigung der Seed-Präferenz. Es genügt eine vertragliche Bestätigung im Series-A-SHA, ohne Anteilsabtretung. Nur wenn Anteile umsortiert werden, beurkundungspflichtig.</w:t>
      </w:r>
    </w:p>
    <w:p/>
    <w:p>
      <w:pPr>
        <w:pStyle w:val="Heading3"/>
      </w:pPr>
      <w:r>
        <w:t>Vierte Beurkundung — Optionale Anteilsabtretung Gründer für Vesting-Klausel</w:t>
      </w:r>
    </w:p>
    <w:p/>
    <w:p>
      <w:pPr>
        <w:pStyle w:val="ListNumber"/>
      </w:pPr>
      <w:r>
        <w:rPr>
          <w:rFonts w:ascii="Times New Roman" w:hAnsi="Times New Roman"/>
          <w:sz w:val="20"/>
        </w:rPr>
        <w:t>Treuhand- oder Call-Optionsstruktur kann beurkundungsbedürftig sein, soweit eine konkrete Übertragungspflicht für Unvested Shares begründet wird (Paragraf 15 Absatz 4 GmbHG).</w:t>
      </w:r>
    </w:p>
    <w:p>
      <w:pPr>
        <w:pStyle w:val="ListNumber"/>
      </w:pPr>
      <w:r>
        <w:rPr>
          <w:rFonts w:ascii="Times New Roman" w:hAnsi="Times New Roman"/>
          <w:sz w:val="20"/>
        </w:rPr>
        <w:t>Alternativ: bedingte Anteilsabtretung mit aufschiebender Bedingung Bad-Leaver-Ereignis. Vor- und Nachteile abwägen.</w:t>
      </w:r>
    </w:p>
    <w:p/>
    <w:p>
      <w:pPr>
        <w:pStyle w:val="Heading2"/>
      </w:pPr>
      <w:r>
        <w:t>Sprachfragen Beurkundung</w:t>
      </w:r>
    </w:p>
    <w:p/>
    <w:tbl>
      <w:tblPr>
        <w:tblStyle w:val="TableGrid"/>
        <w:tblW w:type="auto" w:w="0"/>
        <w:jc w:val="center"/>
        <w:tblLook w:firstColumn="1" w:firstRow="1" w:lastColumn="0" w:lastRow="0" w:noHBand="0" w:noVBand="1" w:val="04A0"/>
      </w:tblPr>
      <w:tblGrid>
        <w:gridCol w:w="3221"/>
        <w:gridCol w:w="3221"/>
        <w:gridCol w:w="3221"/>
      </w:tblGrid>
      <w:tr>
        <w:tc>
          <w:tcPr>
            <w:tcW w:type="dxa" w:w="3221"/>
            <w:vAlign w:val="center"/>
            <w:tcMar>
              <w:top w:w="90" w:type="dxa"/>
              <w:start w:w="90" w:type="dxa"/>
              <w:bottom w:w="90" w:type="dxa"/>
              <w:end w:w="90" w:type="dxa"/>
            </w:tcMar>
            <w:shd w:fill="E8EEF7"/>
          </w:tcPr>
          <w:p>
            <w:r>
              <w:rPr>
                <w:rFonts w:ascii="Times New Roman" w:hAnsi="Times New Roman"/>
                <w:b/>
                <w:sz w:val="17"/>
              </w:rPr>
              <w:t>Vorgang</w:t>
            </w:r>
          </w:p>
        </w:tc>
        <w:tc>
          <w:tcPr>
            <w:tcW w:type="dxa" w:w="3221"/>
            <w:vAlign w:val="center"/>
            <w:tcMar>
              <w:top w:w="90" w:type="dxa"/>
              <w:start w:w="90" w:type="dxa"/>
              <w:bottom w:w="90" w:type="dxa"/>
              <w:end w:w="90" w:type="dxa"/>
            </w:tcMar>
            <w:shd w:fill="E8EEF7"/>
          </w:tcPr>
          <w:p>
            <w:r>
              <w:rPr>
                <w:rFonts w:ascii="Times New Roman" w:hAnsi="Times New Roman"/>
                <w:b/>
                <w:sz w:val="17"/>
              </w:rPr>
              <w:t>Sprache</w:t>
            </w:r>
          </w:p>
        </w:tc>
        <w:tc>
          <w:tcPr>
            <w:tcW w:type="dxa" w:w="3221"/>
            <w:vAlign w:val="center"/>
            <w:tcMar>
              <w:top w:w="90" w:type="dxa"/>
              <w:start w:w="90" w:type="dxa"/>
              <w:bottom w:w="90" w:type="dxa"/>
              <w:end w:w="90" w:type="dxa"/>
            </w:tcMar>
            <w:shd w:fill="E8EEF7"/>
          </w:tcPr>
          <w:p>
            <w:r>
              <w:rPr>
                <w:rFonts w:ascii="Times New Roman" w:hAnsi="Times New Roman"/>
                <w:b/>
                <w:sz w:val="17"/>
              </w:rPr>
              <w:t>Rechtsgrundlage und Hinweise</w:t>
            </w:r>
          </w:p>
        </w:tc>
      </w:tr>
      <w:tr>
        <w:tc>
          <w:tcPr>
            <w:tcW w:type="dxa" w:w="3221"/>
            <w:vAlign w:val="center"/>
            <w:tcMar>
              <w:top w:w="90" w:type="dxa"/>
              <w:start w:w="90" w:type="dxa"/>
              <w:bottom w:w="90" w:type="dxa"/>
              <w:end w:w="90" w:type="dxa"/>
            </w:tcMar>
          </w:tcPr>
          <w:p>
            <w:r>
              <w:rPr>
                <w:rFonts w:ascii="Times New Roman" w:hAnsi="Times New Roman"/>
                <w:sz w:val="17"/>
              </w:rPr>
              <w:t>Beschluss Gesellschafterversammlung</w:t>
            </w:r>
          </w:p>
        </w:tc>
        <w:tc>
          <w:tcPr>
            <w:tcW w:type="dxa" w:w="3221"/>
            <w:vAlign w:val="center"/>
            <w:tcMar>
              <w:top w:w="90" w:type="dxa"/>
              <w:start w:w="90" w:type="dxa"/>
              <w:bottom w:w="90" w:type="dxa"/>
              <w:end w:w="90" w:type="dxa"/>
            </w:tcMar>
          </w:tcPr>
          <w:p>
            <w:r>
              <w:rPr>
                <w:rFonts w:ascii="Times New Roman" w:hAnsi="Times New Roman"/>
                <w:sz w:val="17"/>
              </w:rPr>
              <w:t>Deutsch</w:t>
            </w:r>
          </w:p>
        </w:tc>
        <w:tc>
          <w:tcPr>
            <w:tcW w:type="dxa" w:w="3221"/>
            <w:vAlign w:val="center"/>
            <w:tcMar>
              <w:top w:w="90" w:type="dxa"/>
              <w:start w:w="90" w:type="dxa"/>
              <w:bottom w:w="90" w:type="dxa"/>
              <w:end w:w="90" w:type="dxa"/>
            </w:tcMar>
          </w:tcPr>
          <w:p>
            <w:r>
              <w:rPr>
                <w:rFonts w:ascii="Times New Roman" w:hAnsi="Times New Roman"/>
                <w:sz w:val="17"/>
              </w:rPr>
              <w:t>Paragraf 5 Absatz 1 BeurkG</w:t>
            </w:r>
          </w:p>
        </w:tc>
      </w:tr>
      <w:tr>
        <w:tc>
          <w:tcPr>
            <w:tcW w:type="dxa" w:w="3221"/>
            <w:vAlign w:val="center"/>
            <w:tcMar>
              <w:top w:w="90" w:type="dxa"/>
              <w:start w:w="90" w:type="dxa"/>
              <w:bottom w:w="90" w:type="dxa"/>
              <w:end w:w="90" w:type="dxa"/>
            </w:tcMar>
          </w:tcPr>
          <w:p>
            <w:r>
              <w:rPr>
                <w:rFonts w:ascii="Times New Roman" w:hAnsi="Times New Roman"/>
                <w:sz w:val="17"/>
              </w:rPr>
              <w:t>Übernahmeerklärung neuer Gesellschafter</w:t>
            </w:r>
          </w:p>
        </w:tc>
        <w:tc>
          <w:tcPr>
            <w:tcW w:type="dxa" w:w="3221"/>
            <w:vAlign w:val="center"/>
            <w:tcMar>
              <w:top w:w="90" w:type="dxa"/>
              <w:start w:w="90" w:type="dxa"/>
              <w:bottom w:w="90" w:type="dxa"/>
              <w:end w:w="90" w:type="dxa"/>
            </w:tcMar>
          </w:tcPr>
          <w:p>
            <w:r>
              <w:rPr>
                <w:rFonts w:ascii="Times New Roman" w:hAnsi="Times New Roman"/>
                <w:sz w:val="17"/>
              </w:rPr>
              <w:t>Deutsch</w:t>
            </w:r>
          </w:p>
        </w:tc>
        <w:tc>
          <w:tcPr>
            <w:tcW w:type="dxa" w:w="3221"/>
            <w:vAlign w:val="center"/>
            <w:tcMar>
              <w:top w:w="90" w:type="dxa"/>
              <w:start w:w="90" w:type="dxa"/>
              <w:bottom w:w="90" w:type="dxa"/>
              <w:end w:w="90" w:type="dxa"/>
            </w:tcMar>
          </w:tcPr>
          <w:p>
            <w:r>
              <w:rPr>
                <w:rFonts w:ascii="Times New Roman" w:hAnsi="Times New Roman"/>
                <w:sz w:val="17"/>
              </w:rPr>
              <w:t>Paragraf 5 BeurkG, Übersetzung als Anlage zulässig</w:t>
            </w:r>
          </w:p>
        </w:tc>
      </w:tr>
      <w:tr>
        <w:tc>
          <w:tcPr>
            <w:tcW w:type="dxa" w:w="3221"/>
            <w:vAlign w:val="center"/>
            <w:tcMar>
              <w:top w:w="90" w:type="dxa"/>
              <w:start w:w="90" w:type="dxa"/>
              <w:bottom w:w="90" w:type="dxa"/>
              <w:end w:w="90" w:type="dxa"/>
            </w:tcMar>
          </w:tcPr>
          <w:p>
            <w:r>
              <w:rPr>
                <w:rFonts w:ascii="Times New Roman" w:hAnsi="Times New Roman"/>
                <w:sz w:val="17"/>
              </w:rPr>
              <w:t>Anteilsabtretung</w:t>
            </w:r>
          </w:p>
        </w:tc>
        <w:tc>
          <w:tcPr>
            <w:tcW w:type="dxa" w:w="3221"/>
            <w:vAlign w:val="center"/>
            <w:tcMar>
              <w:top w:w="90" w:type="dxa"/>
              <w:start w:w="90" w:type="dxa"/>
              <w:bottom w:w="90" w:type="dxa"/>
              <w:end w:w="90" w:type="dxa"/>
            </w:tcMar>
          </w:tcPr>
          <w:p>
            <w:r>
              <w:rPr>
                <w:rFonts w:ascii="Times New Roman" w:hAnsi="Times New Roman"/>
                <w:sz w:val="17"/>
              </w:rPr>
              <w:t>Deutsch</w:t>
            </w:r>
          </w:p>
        </w:tc>
        <w:tc>
          <w:tcPr>
            <w:tcW w:type="dxa" w:w="3221"/>
            <w:vAlign w:val="center"/>
            <w:tcMar>
              <w:top w:w="90" w:type="dxa"/>
              <w:start w:w="90" w:type="dxa"/>
              <w:bottom w:w="90" w:type="dxa"/>
              <w:end w:w="90" w:type="dxa"/>
            </w:tcMar>
          </w:tcPr>
          <w:p>
            <w:r>
              <w:rPr>
                <w:rFonts w:ascii="Times New Roman" w:hAnsi="Times New Roman"/>
                <w:sz w:val="17"/>
              </w:rPr>
              <w:t>Paragraf 15 Absatz 3 GmbHG, Paragraf 5 BeurkG</w:t>
            </w:r>
          </w:p>
        </w:tc>
      </w:tr>
      <w:tr>
        <w:tc>
          <w:tcPr>
            <w:tcW w:type="dxa" w:w="3221"/>
            <w:vAlign w:val="center"/>
            <w:tcMar>
              <w:top w:w="90" w:type="dxa"/>
              <w:start w:w="90" w:type="dxa"/>
              <w:bottom w:w="90" w:type="dxa"/>
              <w:end w:w="90" w:type="dxa"/>
            </w:tcMar>
          </w:tcPr>
          <w:p>
            <w:r>
              <w:rPr>
                <w:rFonts w:ascii="Times New Roman" w:hAnsi="Times New Roman"/>
                <w:sz w:val="17"/>
              </w:rPr>
              <w:t>Satzung neu</w:t>
            </w:r>
          </w:p>
        </w:tc>
        <w:tc>
          <w:tcPr>
            <w:tcW w:type="dxa" w:w="3221"/>
            <w:vAlign w:val="center"/>
            <w:tcMar>
              <w:top w:w="90" w:type="dxa"/>
              <w:start w:w="90" w:type="dxa"/>
              <w:bottom w:w="90" w:type="dxa"/>
              <w:end w:w="90" w:type="dxa"/>
            </w:tcMar>
          </w:tcPr>
          <w:p>
            <w:r>
              <w:rPr>
                <w:rFonts w:ascii="Times New Roman" w:hAnsi="Times New Roman"/>
                <w:sz w:val="17"/>
              </w:rPr>
              <w:t>Deutsch</w:t>
            </w:r>
          </w:p>
        </w:tc>
        <w:tc>
          <w:tcPr>
            <w:tcW w:type="dxa" w:w="3221"/>
            <w:vAlign w:val="center"/>
            <w:tcMar>
              <w:top w:w="90" w:type="dxa"/>
              <w:start w:w="90" w:type="dxa"/>
              <w:bottom w:w="90" w:type="dxa"/>
              <w:end w:w="90" w:type="dxa"/>
            </w:tcMar>
          </w:tcPr>
          <w:p>
            <w:r>
              <w:rPr>
                <w:rFonts w:ascii="Times New Roman" w:hAnsi="Times New Roman"/>
                <w:sz w:val="17"/>
              </w:rPr>
              <w:t>Paragraf 53 GmbHG, Paragraf 5 BeurkG</w:t>
            </w:r>
          </w:p>
        </w:tc>
      </w:tr>
      <w:tr>
        <w:tc>
          <w:tcPr>
            <w:tcW w:type="dxa" w:w="3221"/>
            <w:vAlign w:val="center"/>
            <w:tcMar>
              <w:top w:w="90" w:type="dxa"/>
              <w:start w:w="90" w:type="dxa"/>
              <w:bottom w:w="90" w:type="dxa"/>
              <w:end w:w="90" w:type="dxa"/>
            </w:tcMar>
          </w:tcPr>
          <w:p>
            <w:r>
              <w:rPr>
                <w:rFonts w:ascii="Times New Roman" w:hAnsi="Times New Roman"/>
                <w:sz w:val="17"/>
              </w:rPr>
              <w:t>Vollmacht Investor</w:t>
            </w:r>
          </w:p>
        </w:tc>
        <w:tc>
          <w:tcPr>
            <w:tcW w:type="dxa" w:w="3221"/>
            <w:vAlign w:val="center"/>
            <w:tcMar>
              <w:top w:w="90" w:type="dxa"/>
              <w:start w:w="90" w:type="dxa"/>
              <w:bottom w:w="90" w:type="dxa"/>
              <w:end w:w="90" w:type="dxa"/>
            </w:tcMar>
          </w:tcPr>
          <w:p>
            <w:r>
              <w:rPr>
                <w:rFonts w:ascii="Times New Roman" w:hAnsi="Times New Roman"/>
                <w:sz w:val="17"/>
              </w:rPr>
              <w:t>Deutsch oder Englisch mit beglaubigter Übersetzung</w:t>
            </w:r>
          </w:p>
        </w:tc>
        <w:tc>
          <w:tcPr>
            <w:tcW w:type="dxa" w:w="3221"/>
            <w:vAlign w:val="center"/>
            <w:tcMar>
              <w:top w:w="90" w:type="dxa"/>
              <w:start w:w="90" w:type="dxa"/>
              <w:bottom w:w="90" w:type="dxa"/>
              <w:end w:w="90" w:type="dxa"/>
            </w:tcMar>
          </w:tcPr>
          <w:p>
            <w:r>
              <w:rPr>
                <w:rFonts w:ascii="Times New Roman" w:hAnsi="Times New Roman"/>
                <w:sz w:val="17"/>
              </w:rPr>
              <w:t>Paragraf 5 Absatz 2 BeurkG analog</w:t>
            </w:r>
          </w:p>
        </w:tc>
      </w:tr>
      <w:tr>
        <w:tc>
          <w:tcPr>
            <w:tcW w:type="dxa" w:w="3221"/>
            <w:vAlign w:val="center"/>
            <w:tcMar>
              <w:top w:w="90" w:type="dxa"/>
              <w:start w:w="90" w:type="dxa"/>
              <w:bottom w:w="90" w:type="dxa"/>
              <w:end w:w="90" w:type="dxa"/>
            </w:tcMar>
          </w:tcPr>
          <w:p>
            <w:r>
              <w:rPr>
                <w:rFonts w:ascii="Times New Roman" w:hAnsi="Times New Roman"/>
                <w:sz w:val="17"/>
              </w:rPr>
              <w:t>SHA und Investment Agreement</w:t>
            </w:r>
          </w:p>
        </w:tc>
        <w:tc>
          <w:tcPr>
            <w:tcW w:type="dxa" w:w="3221"/>
            <w:vAlign w:val="center"/>
            <w:tcMar>
              <w:top w:w="90" w:type="dxa"/>
              <w:start w:w="90" w:type="dxa"/>
              <w:bottom w:w="90" w:type="dxa"/>
              <w:end w:w="90" w:type="dxa"/>
            </w:tcMar>
          </w:tcPr>
          <w:p>
            <w:r>
              <w:rPr>
                <w:rFonts w:ascii="Times New Roman" w:hAnsi="Times New Roman"/>
                <w:sz w:val="17"/>
              </w:rPr>
              <w:t>Englisch</w:t>
            </w:r>
          </w:p>
        </w:tc>
        <w:tc>
          <w:tcPr>
            <w:tcW w:type="dxa" w:w="3221"/>
            <w:vAlign w:val="center"/>
            <w:tcMar>
              <w:top w:w="90" w:type="dxa"/>
              <w:start w:w="90" w:type="dxa"/>
              <w:bottom w:w="90" w:type="dxa"/>
              <w:end w:w="90" w:type="dxa"/>
            </w:tcMar>
          </w:tcPr>
          <w:p>
            <w:r>
              <w:rPr>
                <w:rFonts w:ascii="Times New Roman" w:hAnsi="Times New Roman"/>
                <w:sz w:val="17"/>
              </w:rPr>
              <w:t>Paragraf 5 BeurkG nicht anwendbar, da keine Beurkundungspflicht; soweit beurkundungspflichtige Verpflichtungen enthalten, mitbeurkunden</w:t>
            </w:r>
          </w:p>
        </w:tc>
      </w:tr>
      <w:tr>
        <w:tc>
          <w:tcPr>
            <w:tcW w:type="dxa" w:w="3221"/>
            <w:vAlign w:val="center"/>
            <w:tcMar>
              <w:top w:w="90" w:type="dxa"/>
              <w:start w:w="90" w:type="dxa"/>
              <w:bottom w:w="90" w:type="dxa"/>
              <w:end w:w="90" w:type="dxa"/>
            </w:tcMar>
          </w:tcPr>
          <w:p>
            <w:r>
              <w:rPr>
                <w:rFonts w:ascii="Times New Roman" w:hAnsi="Times New Roman"/>
                <w:sz w:val="17"/>
              </w:rPr>
              <w:t>Beirats-Geschäftsordnung</w:t>
            </w:r>
          </w:p>
        </w:tc>
        <w:tc>
          <w:tcPr>
            <w:tcW w:type="dxa" w:w="3221"/>
            <w:vAlign w:val="center"/>
            <w:tcMar>
              <w:top w:w="90" w:type="dxa"/>
              <w:start w:w="90" w:type="dxa"/>
              <w:bottom w:w="90" w:type="dxa"/>
              <w:end w:w="90" w:type="dxa"/>
            </w:tcMar>
          </w:tcPr>
          <w:p>
            <w:r>
              <w:rPr>
                <w:rFonts w:ascii="Times New Roman" w:hAnsi="Times New Roman"/>
                <w:sz w:val="17"/>
              </w:rPr>
              <w:t>Englisch</w:t>
            </w:r>
          </w:p>
        </w:tc>
        <w:tc>
          <w:tcPr>
            <w:tcW w:type="dxa" w:w="3221"/>
            <w:vAlign w:val="center"/>
            <w:tcMar>
              <w:top w:w="90" w:type="dxa"/>
              <w:start w:w="90" w:type="dxa"/>
              <w:bottom w:w="90" w:type="dxa"/>
              <w:end w:w="90" w:type="dxa"/>
            </w:tcMar>
          </w:tcPr>
          <w:p>
            <w:r>
              <w:rPr>
                <w:rFonts w:ascii="Times New Roman" w:hAnsi="Times New Roman"/>
                <w:sz w:val="17"/>
              </w:rPr>
              <w:t>nicht beurkundungspflichtig</w:t>
            </w:r>
          </w:p>
        </w:tc>
      </w:tr>
      <w:tr>
        <w:tc>
          <w:tcPr>
            <w:tcW w:type="dxa" w:w="3221"/>
            <w:vAlign w:val="center"/>
            <w:tcMar>
              <w:top w:w="90" w:type="dxa"/>
              <w:start w:w="90" w:type="dxa"/>
              <w:bottom w:w="90" w:type="dxa"/>
              <w:end w:w="90" w:type="dxa"/>
            </w:tcMar>
          </w:tcPr>
          <w:p>
            <w:r>
              <w:rPr>
                <w:rFonts w:ascii="Times New Roman" w:hAnsi="Times New Roman"/>
                <w:sz w:val="17"/>
              </w:rPr>
              <w:t>Side Letters Investor</w:t>
            </w:r>
          </w:p>
        </w:tc>
        <w:tc>
          <w:tcPr>
            <w:tcW w:type="dxa" w:w="3221"/>
            <w:vAlign w:val="center"/>
            <w:tcMar>
              <w:top w:w="90" w:type="dxa"/>
              <w:start w:w="90" w:type="dxa"/>
              <w:bottom w:w="90" w:type="dxa"/>
              <w:end w:w="90" w:type="dxa"/>
            </w:tcMar>
          </w:tcPr>
          <w:p>
            <w:r>
              <w:rPr>
                <w:rFonts w:ascii="Times New Roman" w:hAnsi="Times New Roman"/>
                <w:sz w:val="17"/>
              </w:rPr>
              <w:t>Englisch</w:t>
            </w:r>
          </w:p>
        </w:tc>
        <w:tc>
          <w:tcPr>
            <w:tcW w:type="dxa" w:w="3221"/>
            <w:vAlign w:val="center"/>
            <w:tcMar>
              <w:top w:w="90" w:type="dxa"/>
              <w:start w:w="90" w:type="dxa"/>
              <w:bottom w:w="90" w:type="dxa"/>
              <w:end w:w="90" w:type="dxa"/>
            </w:tcMar>
          </w:tcPr>
          <w:p>
            <w:r>
              <w:rPr>
                <w:rFonts w:ascii="Times New Roman" w:hAnsi="Times New Roman"/>
                <w:sz w:val="17"/>
              </w:rPr>
              <w:t>nicht beurkundungspflichtig</w:t>
            </w:r>
          </w:p>
        </w:tc>
      </w:tr>
    </w:tbl>
    <w:p/>
    <w:p/>
    <w:p>
      <w:pPr>
        <w:pStyle w:val="Heading2"/>
      </w:pPr>
      <w:r>
        <w:t>Einheitsdoktrin und Mitbeurkundung</w:t>
      </w:r>
    </w:p>
    <w:p/>
    <w:p>
      <w:pPr>
        <w:spacing w:after="80"/>
        <w:jc w:val="both"/>
      </w:pPr>
      <w:r>
        <w:rPr>
          <w:rFonts w:ascii="Times New Roman" w:hAnsi="Times New Roman"/>
          <w:sz w:val="21"/>
        </w:rPr>
        <w:t>Achtung: Wenn das SHA in englischer Sprache Verpflichtungen zur Anteilsübertragung, zur Übernahme von Geschäftsanteilen oder zu Änderungen der Satzung enthält, kann nach der Einheitsdoktrin der gesamte SHA mitbeurkundungspflichtig sein. Klassische Falle bei Drag-Along-Klauseln, Tag-Along-Klauseln, Pre-Emption-Klauseln, Founder-Vesting-Klauseln mit Call-Option.</w:t>
      </w:r>
    </w:p>
    <w:p/>
    <w:p>
      <w:pPr>
        <w:spacing w:after="80"/>
        <w:jc w:val="both"/>
      </w:pPr>
      <w:r>
        <w:rPr>
          <w:rFonts w:ascii="Times New Roman" w:hAnsi="Times New Roman"/>
          <w:sz w:val="21"/>
        </w:rPr>
        <w:t>Praxislösung: Zwei-Stufen-Dokumentation, bei der die beurkundungspflichtigen Verpflichtungen in einer beurkundeten Rahmenvereinbarung (z. B. „Master Investment and Subscription Agreement" auf Deutsch oder als beurkundete englische Fassung) konzentriert werden, während die schuldrechtlich-rein vertraglichen Elemente im SHA in englischer Sprache verbleiben. Ungeprüfte Konsolidierung in einem Dokument kann zur Gesamtnichtigkeit führen.</w:t>
      </w:r>
    </w:p>
    <w:p/>
    <w:p>
      <w:pPr>
        <w:pStyle w:val="Heading2"/>
      </w:pPr>
      <w:r>
        <w:t>Handelsregisterlogik</w:t>
      </w:r>
    </w:p>
    <w:p/>
    <w:p>
      <w:pPr>
        <w:pStyle w:val="ListNumber"/>
      </w:pPr>
      <w:r>
        <w:rPr>
          <w:rFonts w:ascii="Times New Roman" w:hAnsi="Times New Roman"/>
          <w:sz w:val="20"/>
        </w:rPr>
        <w:t>Reihenfolge: erst Kapitalerhöhung beurkunden, dann Anmeldung beim Handelsregister, dann Eintragung. Series-A-Investoren werden mit Eintragung Gesellschafter. Bis dahin: nur schuldrechtliche Position.</w:t>
      </w:r>
    </w:p>
    <w:p>
      <w:pPr>
        <w:pStyle w:val="ListNumber"/>
      </w:pPr>
      <w:r>
        <w:rPr>
          <w:rFonts w:ascii="Times New Roman" w:hAnsi="Times New Roman"/>
          <w:sz w:val="20"/>
        </w:rPr>
        <w:t>Liste neuer Gesellschafter: Notar reicht nach Eintragung die neue Liste nach Paragraf 40 GmbHG ein. Erst dann gilt der neue Investor als gegenüber der Gesellschaft legitimiert.</w:t>
      </w:r>
    </w:p>
    <w:p>
      <w:pPr>
        <w:pStyle w:val="ListNumber"/>
      </w:pPr>
      <w:r>
        <w:rPr>
          <w:rFonts w:ascii="Times New Roman" w:hAnsi="Times New Roman"/>
          <w:sz w:val="20"/>
        </w:rPr>
        <w:t>Wandeldarlehen: muss vor oder gleichzeitig mit der Series A gewandelt werden, sonst Wandlung in der Folge mit zusätzlichem Notartermin.</w:t>
      </w:r>
    </w:p>
    <w:p>
      <w:pPr>
        <w:pStyle w:val="ListNumber"/>
      </w:pPr>
      <w:r>
        <w:rPr>
          <w:rFonts w:ascii="Times New Roman" w:hAnsi="Times New Roman"/>
          <w:sz w:val="20"/>
        </w:rPr>
        <w:t>VSOP: virtuelles Programm, keine Handelsregisterwirkung. Aber kommunikative Disclosure im Cap Table.</w:t>
      </w:r>
    </w:p>
    <w:p>
      <w:pPr>
        <w:pStyle w:val="ListNumber"/>
      </w:pPr>
      <w:r>
        <w:rPr>
          <w:rFonts w:ascii="Times New Roman" w:hAnsi="Times New Roman"/>
          <w:sz w:val="20"/>
        </w:rPr>
        <w:t>Wirtschaftliche Berechtigung: nach Geldwäschegesetz Meldung an Transparenzregister, sobald neue wirtschaftlich Berechtigte (Northbridge, Krämer Angel Pool) die Schwellen erreichen. Innerhalb der Frist nach Paragraf 20 GwG.</w:t>
      </w:r>
    </w:p>
    <w:p/>
    <w:p>
      <w:pPr>
        <w:pStyle w:val="Heading2"/>
      </w:pPr>
      <w:r>
        <w:t>Frist- und Dokumentenpfadliste</w:t>
      </w:r>
    </w:p>
    <w:p/>
    <w:tbl>
      <w:tblPr>
        <w:tblStyle w:val="TableGrid"/>
        <w:tblW w:type="auto" w:w="0"/>
        <w:jc w:val="center"/>
        <w:tblLook w:firstColumn="1" w:firstRow="1" w:lastColumn="0" w:lastRow="0" w:noHBand="0" w:noVBand="1" w:val="04A0"/>
      </w:tblPr>
      <w:tblGrid>
        <w:gridCol w:w="3221"/>
        <w:gridCol w:w="3221"/>
        <w:gridCol w:w="3221"/>
      </w:tblGrid>
      <w:tr>
        <w:tc>
          <w:tcPr>
            <w:tcW w:type="dxa" w:w="3221"/>
            <w:vAlign w:val="center"/>
            <w:tcMar>
              <w:top w:w="90" w:type="dxa"/>
              <w:start w:w="90" w:type="dxa"/>
              <w:bottom w:w="90" w:type="dxa"/>
              <w:end w:w="90" w:type="dxa"/>
            </w:tcMar>
            <w:shd w:fill="E8EEF7"/>
          </w:tcPr>
          <w:p>
            <w:r>
              <w:rPr>
                <w:rFonts w:ascii="Times New Roman" w:hAnsi="Times New Roman"/>
                <w:b/>
                <w:sz w:val="17"/>
              </w:rPr>
              <w:t>Aktion</w:t>
            </w:r>
          </w:p>
        </w:tc>
        <w:tc>
          <w:tcPr>
            <w:tcW w:type="dxa" w:w="3221"/>
            <w:vAlign w:val="center"/>
            <w:tcMar>
              <w:top w:w="90" w:type="dxa"/>
              <w:start w:w="90" w:type="dxa"/>
              <w:bottom w:w="90" w:type="dxa"/>
              <w:end w:w="90" w:type="dxa"/>
            </w:tcMar>
            <w:shd w:fill="E8EEF7"/>
          </w:tcPr>
          <w:p>
            <w:r>
              <w:rPr>
                <w:rFonts w:ascii="Times New Roman" w:hAnsi="Times New Roman"/>
                <w:b/>
                <w:sz w:val="17"/>
              </w:rPr>
              <w:t>Frist vor Closing</w:t>
            </w:r>
          </w:p>
        </w:tc>
        <w:tc>
          <w:tcPr>
            <w:tcW w:type="dxa" w:w="3221"/>
            <w:vAlign w:val="center"/>
            <w:tcMar>
              <w:top w:w="90" w:type="dxa"/>
              <w:start w:w="90" w:type="dxa"/>
              <w:bottom w:w="90" w:type="dxa"/>
              <w:end w:w="90" w:type="dxa"/>
            </w:tcMar>
            <w:shd w:fill="E8EEF7"/>
          </w:tcPr>
          <w:p>
            <w:r>
              <w:rPr>
                <w:rFonts w:ascii="Times New Roman" w:hAnsi="Times New Roman"/>
                <w:b/>
                <w:sz w:val="17"/>
              </w:rPr>
              <w:t>Verantwortlich</w:t>
            </w:r>
          </w:p>
        </w:tc>
      </w:tr>
      <w:tr>
        <w:tc>
          <w:tcPr>
            <w:tcW w:type="dxa" w:w="3221"/>
            <w:vAlign w:val="center"/>
            <w:tcMar>
              <w:top w:w="90" w:type="dxa"/>
              <w:start w:w="90" w:type="dxa"/>
              <w:bottom w:w="90" w:type="dxa"/>
              <w:end w:w="90" w:type="dxa"/>
            </w:tcMar>
          </w:tcPr>
          <w:p>
            <w:r>
              <w:rPr>
                <w:rFonts w:ascii="Times New Roman" w:hAnsi="Times New Roman"/>
                <w:sz w:val="17"/>
              </w:rPr>
              <w:t>Notar-Vorbesprechung</w:t>
            </w:r>
          </w:p>
        </w:tc>
        <w:tc>
          <w:tcPr>
            <w:tcW w:type="dxa" w:w="3221"/>
            <w:vAlign w:val="center"/>
            <w:tcMar>
              <w:top w:w="90" w:type="dxa"/>
              <w:start w:w="90" w:type="dxa"/>
              <w:bottom w:w="90" w:type="dxa"/>
              <w:end w:w="90" w:type="dxa"/>
            </w:tcMar>
          </w:tcPr>
          <w:p>
            <w:r>
              <w:rPr>
                <w:rFonts w:ascii="Times New Roman" w:hAnsi="Times New Roman"/>
                <w:sz w:val="17"/>
              </w:rPr>
              <w:t>T minus 3 Tage</w:t>
            </w:r>
          </w:p>
        </w:tc>
        <w:tc>
          <w:tcPr>
            <w:tcW w:type="dxa" w:w="3221"/>
            <w:vAlign w:val="center"/>
            <w:tcMar>
              <w:top w:w="90" w:type="dxa"/>
              <w:start w:w="90" w:type="dxa"/>
              <w:bottom w:w="90" w:type="dxa"/>
              <w:end w:w="90" w:type="dxa"/>
            </w:tcMar>
          </w:tcPr>
          <w:p>
            <w:r>
              <w:rPr>
                <w:rFonts w:ascii="Times New Roman" w:hAnsi="Times New Roman"/>
                <w:sz w:val="17"/>
              </w:rPr>
              <w:t>Adelheid von Westarp</w:t>
            </w:r>
          </w:p>
        </w:tc>
      </w:tr>
      <w:tr>
        <w:tc>
          <w:tcPr>
            <w:tcW w:type="dxa" w:w="3221"/>
            <w:vAlign w:val="center"/>
            <w:tcMar>
              <w:top w:w="90" w:type="dxa"/>
              <w:start w:w="90" w:type="dxa"/>
              <w:bottom w:w="90" w:type="dxa"/>
              <w:end w:w="90" w:type="dxa"/>
            </w:tcMar>
          </w:tcPr>
          <w:p>
            <w:r>
              <w:rPr>
                <w:rFonts w:ascii="Times New Roman" w:hAnsi="Times New Roman"/>
                <w:sz w:val="17"/>
              </w:rPr>
              <w:t>Final Cap Table</w:t>
            </w:r>
          </w:p>
        </w:tc>
        <w:tc>
          <w:tcPr>
            <w:tcW w:type="dxa" w:w="3221"/>
            <w:vAlign w:val="center"/>
            <w:tcMar>
              <w:top w:w="90" w:type="dxa"/>
              <w:start w:w="90" w:type="dxa"/>
              <w:bottom w:w="90" w:type="dxa"/>
              <w:end w:w="90" w:type="dxa"/>
            </w:tcMar>
          </w:tcPr>
          <w:p>
            <w:r>
              <w:rPr>
                <w:rFonts w:ascii="Times New Roman" w:hAnsi="Times New Roman"/>
                <w:sz w:val="17"/>
              </w:rPr>
              <w:t>T minus 5 Tage</w:t>
            </w:r>
          </w:p>
        </w:tc>
        <w:tc>
          <w:tcPr>
            <w:tcW w:type="dxa" w:w="3221"/>
            <w:vAlign w:val="center"/>
            <w:tcMar>
              <w:top w:w="90" w:type="dxa"/>
              <w:start w:w="90" w:type="dxa"/>
              <w:bottom w:w="90" w:type="dxa"/>
              <w:end w:w="90" w:type="dxa"/>
            </w:tcMar>
          </w:tcPr>
          <w:p>
            <w:r>
              <w:rPr>
                <w:rFonts w:ascii="Times New Roman" w:hAnsi="Times New Roman"/>
                <w:sz w:val="17"/>
              </w:rPr>
              <w:t>Hildemar K. + Olaf Eichholtz</w:t>
            </w:r>
          </w:p>
        </w:tc>
      </w:tr>
      <w:tr>
        <w:tc>
          <w:tcPr>
            <w:tcW w:type="dxa" w:w="3221"/>
            <w:vAlign w:val="center"/>
            <w:tcMar>
              <w:top w:w="90" w:type="dxa"/>
              <w:start w:w="90" w:type="dxa"/>
              <w:bottom w:w="90" w:type="dxa"/>
              <w:end w:w="90" w:type="dxa"/>
            </w:tcMar>
          </w:tcPr>
          <w:p>
            <w:r>
              <w:rPr>
                <w:rFonts w:ascii="Times New Roman" w:hAnsi="Times New Roman"/>
                <w:sz w:val="17"/>
              </w:rPr>
              <w:t>Übernahmeerklärungen Investoren</w:t>
            </w:r>
          </w:p>
        </w:tc>
        <w:tc>
          <w:tcPr>
            <w:tcW w:type="dxa" w:w="3221"/>
            <w:vAlign w:val="center"/>
            <w:tcMar>
              <w:top w:w="90" w:type="dxa"/>
              <w:start w:w="90" w:type="dxa"/>
              <w:bottom w:w="90" w:type="dxa"/>
              <w:end w:w="90" w:type="dxa"/>
            </w:tcMar>
          </w:tcPr>
          <w:p>
            <w:r>
              <w:rPr>
                <w:rFonts w:ascii="Times New Roman" w:hAnsi="Times New Roman"/>
                <w:sz w:val="17"/>
              </w:rPr>
              <w:t>T minus 7 Tage Entwurf</w:t>
            </w:r>
          </w:p>
        </w:tc>
        <w:tc>
          <w:tcPr>
            <w:tcW w:type="dxa" w:w="3221"/>
            <w:vAlign w:val="center"/>
            <w:tcMar>
              <w:top w:w="90" w:type="dxa"/>
              <w:start w:w="90" w:type="dxa"/>
              <w:bottom w:w="90" w:type="dxa"/>
              <w:end w:w="90" w:type="dxa"/>
            </w:tcMar>
          </w:tcPr>
          <w:p>
            <w:r>
              <w:rPr>
                <w:rFonts w:ascii="Times New Roman" w:hAnsi="Times New Roman"/>
                <w:sz w:val="17"/>
              </w:rPr>
              <w:t>Hildemar K.</w:t>
            </w:r>
          </w:p>
        </w:tc>
      </w:tr>
      <w:tr>
        <w:tc>
          <w:tcPr>
            <w:tcW w:type="dxa" w:w="3221"/>
            <w:vAlign w:val="center"/>
            <w:tcMar>
              <w:top w:w="90" w:type="dxa"/>
              <w:start w:w="90" w:type="dxa"/>
              <w:bottom w:w="90" w:type="dxa"/>
              <w:end w:w="90" w:type="dxa"/>
            </w:tcMar>
          </w:tcPr>
          <w:p>
            <w:r>
              <w:rPr>
                <w:rFonts w:ascii="Times New Roman" w:hAnsi="Times New Roman"/>
                <w:sz w:val="17"/>
              </w:rPr>
              <w:t>Vollmachten Investoren beglaubigt</w:t>
            </w:r>
          </w:p>
        </w:tc>
        <w:tc>
          <w:tcPr>
            <w:tcW w:type="dxa" w:w="3221"/>
            <w:vAlign w:val="center"/>
            <w:tcMar>
              <w:top w:w="90" w:type="dxa"/>
              <w:start w:w="90" w:type="dxa"/>
              <w:bottom w:w="90" w:type="dxa"/>
              <w:end w:w="90" w:type="dxa"/>
            </w:tcMar>
          </w:tcPr>
          <w:p>
            <w:r>
              <w:rPr>
                <w:rFonts w:ascii="Times New Roman" w:hAnsi="Times New Roman"/>
                <w:sz w:val="17"/>
              </w:rPr>
              <w:t>T minus 5 Tage</w:t>
            </w:r>
          </w:p>
        </w:tc>
        <w:tc>
          <w:tcPr>
            <w:tcW w:type="dxa" w:w="3221"/>
            <w:vAlign w:val="center"/>
            <w:tcMar>
              <w:top w:w="90" w:type="dxa"/>
              <w:start w:w="90" w:type="dxa"/>
              <w:bottom w:w="90" w:type="dxa"/>
              <w:end w:w="90" w:type="dxa"/>
            </w:tcMar>
          </w:tcPr>
          <w:p>
            <w:r>
              <w:rPr>
                <w:rFonts w:ascii="Times New Roman" w:hAnsi="Times New Roman"/>
                <w:sz w:val="17"/>
              </w:rPr>
              <w:t>Brackenmuir &amp; Quint</w:t>
            </w:r>
          </w:p>
        </w:tc>
      </w:tr>
      <w:tr>
        <w:tc>
          <w:tcPr>
            <w:tcW w:type="dxa" w:w="3221"/>
            <w:vAlign w:val="center"/>
            <w:tcMar>
              <w:top w:w="90" w:type="dxa"/>
              <w:start w:w="90" w:type="dxa"/>
              <w:bottom w:w="90" w:type="dxa"/>
              <w:end w:w="90" w:type="dxa"/>
            </w:tcMar>
          </w:tcPr>
          <w:p>
            <w:r>
              <w:rPr>
                <w:rFonts w:ascii="Times New Roman" w:hAnsi="Times New Roman"/>
                <w:sz w:val="17"/>
              </w:rPr>
              <w:t>Apostille luxemburgische Vollmacht</w:t>
            </w:r>
          </w:p>
        </w:tc>
        <w:tc>
          <w:tcPr>
            <w:tcW w:type="dxa" w:w="3221"/>
            <w:vAlign w:val="center"/>
            <w:tcMar>
              <w:top w:w="90" w:type="dxa"/>
              <w:start w:w="90" w:type="dxa"/>
              <w:bottom w:w="90" w:type="dxa"/>
              <w:end w:w="90" w:type="dxa"/>
            </w:tcMar>
          </w:tcPr>
          <w:p>
            <w:r>
              <w:rPr>
                <w:rFonts w:ascii="Times New Roman" w:hAnsi="Times New Roman"/>
                <w:sz w:val="17"/>
              </w:rPr>
              <w:t>T minus 5 Tage</w:t>
            </w:r>
          </w:p>
        </w:tc>
        <w:tc>
          <w:tcPr>
            <w:tcW w:type="dxa" w:w="3221"/>
            <w:vAlign w:val="center"/>
            <w:tcMar>
              <w:top w:w="90" w:type="dxa"/>
              <w:start w:w="90" w:type="dxa"/>
              <w:bottom w:w="90" w:type="dxa"/>
              <w:end w:w="90" w:type="dxa"/>
            </w:tcMar>
          </w:tcPr>
          <w:p>
            <w:r>
              <w:rPr>
                <w:rFonts w:ascii="Times New Roman" w:hAnsi="Times New Roman"/>
                <w:sz w:val="17"/>
              </w:rPr>
              <w:t>Northbridge</w:t>
            </w:r>
          </w:p>
        </w:tc>
      </w:tr>
      <w:tr>
        <w:tc>
          <w:tcPr>
            <w:tcW w:type="dxa" w:w="3221"/>
            <w:vAlign w:val="center"/>
            <w:tcMar>
              <w:top w:w="90" w:type="dxa"/>
              <w:start w:w="90" w:type="dxa"/>
              <w:bottom w:w="90" w:type="dxa"/>
              <w:end w:w="90" w:type="dxa"/>
            </w:tcMar>
          </w:tcPr>
          <w:p>
            <w:r>
              <w:rPr>
                <w:rFonts w:ascii="Times New Roman" w:hAnsi="Times New Roman"/>
                <w:sz w:val="17"/>
              </w:rPr>
              <w:t>Wandlung Tante Ermelind Wandlungsschreiben</w:t>
            </w:r>
          </w:p>
        </w:tc>
        <w:tc>
          <w:tcPr>
            <w:tcW w:type="dxa" w:w="3221"/>
            <w:vAlign w:val="center"/>
            <w:tcMar>
              <w:top w:w="90" w:type="dxa"/>
              <w:start w:w="90" w:type="dxa"/>
              <w:bottom w:w="90" w:type="dxa"/>
              <w:end w:w="90" w:type="dxa"/>
            </w:tcMar>
          </w:tcPr>
          <w:p>
            <w:r>
              <w:rPr>
                <w:rFonts w:ascii="Times New Roman" w:hAnsi="Times New Roman"/>
                <w:sz w:val="17"/>
              </w:rPr>
              <w:t>T minus 7 Tage</w:t>
            </w:r>
          </w:p>
        </w:tc>
        <w:tc>
          <w:tcPr>
            <w:tcW w:type="dxa" w:w="3221"/>
            <w:vAlign w:val="center"/>
            <w:tcMar>
              <w:top w:w="90" w:type="dxa"/>
              <w:start w:w="90" w:type="dxa"/>
              <w:bottom w:w="90" w:type="dxa"/>
              <w:end w:w="90" w:type="dxa"/>
            </w:tcMar>
          </w:tcPr>
          <w:p>
            <w:r>
              <w:rPr>
                <w:rFonts w:ascii="Times New Roman" w:hAnsi="Times New Roman"/>
                <w:sz w:val="17"/>
              </w:rPr>
              <w:t>Hildemar K. + Frau Stein</w:t>
            </w:r>
          </w:p>
        </w:tc>
      </w:tr>
      <w:tr>
        <w:tc>
          <w:tcPr>
            <w:tcW w:type="dxa" w:w="3221"/>
            <w:vAlign w:val="center"/>
            <w:tcMar>
              <w:top w:w="90" w:type="dxa"/>
              <w:start w:w="90" w:type="dxa"/>
              <w:bottom w:w="90" w:type="dxa"/>
              <w:end w:w="90" w:type="dxa"/>
            </w:tcMar>
          </w:tcPr>
          <w:p>
            <w:r>
              <w:rPr>
                <w:rFonts w:ascii="Times New Roman" w:hAnsi="Times New Roman"/>
                <w:sz w:val="17"/>
              </w:rPr>
              <w:t>Beschluss Pool-Erhöhung</w:t>
            </w:r>
          </w:p>
        </w:tc>
        <w:tc>
          <w:tcPr>
            <w:tcW w:type="dxa" w:w="3221"/>
            <w:vAlign w:val="center"/>
            <w:tcMar>
              <w:top w:w="90" w:type="dxa"/>
              <w:start w:w="90" w:type="dxa"/>
              <w:bottom w:w="90" w:type="dxa"/>
              <w:end w:w="90" w:type="dxa"/>
            </w:tcMar>
          </w:tcPr>
          <w:p>
            <w:r>
              <w:rPr>
                <w:rFonts w:ascii="Times New Roman" w:hAnsi="Times New Roman"/>
                <w:sz w:val="17"/>
              </w:rPr>
              <w:t>T minus 0, in der Beurkundung</w:t>
            </w:r>
          </w:p>
        </w:tc>
        <w:tc>
          <w:tcPr>
            <w:tcW w:type="dxa" w:w="3221"/>
            <w:vAlign w:val="center"/>
            <w:tcMar>
              <w:top w:w="90" w:type="dxa"/>
              <w:start w:w="90" w:type="dxa"/>
              <w:bottom w:w="90" w:type="dxa"/>
              <w:end w:w="90" w:type="dxa"/>
            </w:tcMar>
          </w:tcPr>
          <w:p>
            <w:r>
              <w:rPr>
                <w:rFonts w:ascii="Times New Roman" w:hAnsi="Times New Roman"/>
                <w:sz w:val="17"/>
              </w:rPr>
              <w:t>Notar</w:t>
            </w:r>
          </w:p>
        </w:tc>
      </w:tr>
      <w:tr>
        <w:tc>
          <w:tcPr>
            <w:tcW w:type="dxa" w:w="3221"/>
            <w:vAlign w:val="center"/>
            <w:tcMar>
              <w:top w:w="90" w:type="dxa"/>
              <w:start w:w="90" w:type="dxa"/>
              <w:bottom w:w="90" w:type="dxa"/>
              <w:end w:w="90" w:type="dxa"/>
            </w:tcMar>
          </w:tcPr>
          <w:p>
            <w:r>
              <w:rPr>
                <w:rFonts w:ascii="Times New Roman" w:hAnsi="Times New Roman"/>
                <w:sz w:val="17"/>
              </w:rPr>
              <w:t>Anmeldung Handelsregister</w:t>
            </w:r>
          </w:p>
        </w:tc>
        <w:tc>
          <w:tcPr>
            <w:tcW w:type="dxa" w:w="3221"/>
            <w:vAlign w:val="center"/>
            <w:tcMar>
              <w:top w:w="90" w:type="dxa"/>
              <w:start w:w="90" w:type="dxa"/>
              <w:bottom w:w="90" w:type="dxa"/>
              <w:end w:w="90" w:type="dxa"/>
            </w:tcMar>
          </w:tcPr>
          <w:p>
            <w:r>
              <w:rPr>
                <w:rFonts w:ascii="Times New Roman" w:hAnsi="Times New Roman"/>
                <w:sz w:val="17"/>
              </w:rPr>
              <w:t>T minus 0 nach Beurkundung</w:t>
            </w:r>
          </w:p>
        </w:tc>
        <w:tc>
          <w:tcPr>
            <w:tcW w:type="dxa" w:w="3221"/>
            <w:vAlign w:val="center"/>
            <w:tcMar>
              <w:top w:w="90" w:type="dxa"/>
              <w:start w:w="90" w:type="dxa"/>
              <w:bottom w:w="90" w:type="dxa"/>
              <w:end w:w="90" w:type="dxa"/>
            </w:tcMar>
          </w:tcPr>
          <w:p>
            <w:r>
              <w:rPr>
                <w:rFonts w:ascii="Times New Roman" w:hAnsi="Times New Roman"/>
                <w:sz w:val="17"/>
              </w:rPr>
              <w:t>Notar</w:t>
            </w:r>
          </w:p>
        </w:tc>
      </w:tr>
      <w:tr>
        <w:tc>
          <w:tcPr>
            <w:tcW w:type="dxa" w:w="3221"/>
            <w:vAlign w:val="center"/>
            <w:tcMar>
              <w:top w:w="90" w:type="dxa"/>
              <w:start w:w="90" w:type="dxa"/>
              <w:bottom w:w="90" w:type="dxa"/>
              <w:end w:w="90" w:type="dxa"/>
            </w:tcMar>
          </w:tcPr>
          <w:p>
            <w:r>
              <w:rPr>
                <w:rFonts w:ascii="Times New Roman" w:hAnsi="Times New Roman"/>
                <w:sz w:val="17"/>
              </w:rPr>
              <w:t>GwG-Meldung Transparenzregister</w:t>
            </w:r>
          </w:p>
        </w:tc>
        <w:tc>
          <w:tcPr>
            <w:tcW w:type="dxa" w:w="3221"/>
            <w:vAlign w:val="center"/>
            <w:tcMar>
              <w:top w:w="90" w:type="dxa"/>
              <w:start w:w="90" w:type="dxa"/>
              <w:bottom w:w="90" w:type="dxa"/>
              <w:end w:w="90" w:type="dxa"/>
            </w:tcMar>
          </w:tcPr>
          <w:p>
            <w:r>
              <w:rPr>
                <w:rFonts w:ascii="Times New Roman" w:hAnsi="Times New Roman"/>
                <w:sz w:val="17"/>
              </w:rPr>
              <w:t>T minus 0 plus 14 Tage</w:t>
            </w:r>
          </w:p>
        </w:tc>
        <w:tc>
          <w:tcPr>
            <w:tcW w:type="dxa" w:w="3221"/>
            <w:vAlign w:val="center"/>
            <w:tcMar>
              <w:top w:w="90" w:type="dxa"/>
              <w:start w:w="90" w:type="dxa"/>
              <w:bottom w:w="90" w:type="dxa"/>
              <w:end w:w="90" w:type="dxa"/>
            </w:tcMar>
          </w:tcPr>
          <w:p>
            <w:r>
              <w:rPr>
                <w:rFonts w:ascii="Times New Roman" w:hAnsi="Times New Roman"/>
                <w:sz w:val="17"/>
              </w:rPr>
              <w:t>Geschäftsführer</w:t>
            </w:r>
          </w:p>
        </w:tc>
      </w:tr>
    </w:tbl>
    <w:p/>
    <w:p/>
    <w:p>
      <w:pPr>
        <w:pStyle w:val="Heading2"/>
      </w:pPr>
      <w:r>
        <w:t>Kommentar Adelheid</w:t>
      </w:r>
    </w:p>
    <w:p/>
    <w:p>
      <w:pPr>
        <w:spacing w:after="80"/>
        <w:jc w:val="both"/>
      </w:pPr>
      <w:r>
        <w:rPr>
          <w:rFonts w:ascii="Times New Roman" w:hAnsi="Times New Roman"/>
          <w:sz w:val="21"/>
        </w:rPr>
        <w:t>Ich verlange für diese Akte vor dem Notar drei harte Sachen: (a) das Cap-Table-Modell muss in einer Excel-Version vorliegen, die Schritt für Schritt nachvollziehbar ist; (b) jede Klausel im SHA, die eine Verpflichtung zur Übertragung oder Übernahme von Anteilen enthält, ist Hildemar in einem Memo aufgelistet und Roswitha gegenzeichnet; (c) wir gehen am Vorabend mit dem Notariat die Dokumentenmappe physisch durch. Wer das im letzten Closing-Memo unterlässt, sitzt im nächsten Closing-Memo nicht mehr in der ersten Reihe.</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