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13 Side Letter und Information Rights</w:t>
      </w:r>
    </w:p>
    <w:p/>
    <w:p>
      <w:pPr>
        <w:pStyle w:val="Heading2"/>
      </w:pPr>
      <w:r>
        <w:t>Auszug Seed Side Letter Stahlauge Ventures GmbH, datiert 01.07.2023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1 Information Rights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The Company shall deliver to the Investor: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(a) monthly management reports within 15 business days after the end of each month, including profit and loss, cash position and burn rate;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(b) quarterly business reviews within 30 days after the end of each quarter;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(c) annual audited financial statements within 120 days after the end of each fiscal year;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(d) annual budget and business plan for the upcoming year by 30 November of the preceding year.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2 Pro Rata Right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The Investor shall have a pro rata right to participate in any future equity financing in order to maintain its fully diluted percentage ownership.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3 Most Favoured Nation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If the Company grants to any other investor any rights more favourable than those granted to the Investor, the Company shall promptly offer such rights to the Investor.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4 Seed Preference Confirmation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The Investor's 1x non-participating liquidation preference granted under the Seed-SHA dated 01.07.2023 shall be preserved and reflected in any subsequent financing documentation.</w:t>
      </w:r>
    </w:p>
    <w:p/>
    <w:p>
      <w:pPr>
        <w:pStyle w:val="Heading2"/>
      </w:pPr>
      <w:r>
        <w:t>Folgenabschätzung für Series A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Information Rights Stack. Northbridge wird im Series-A-SHA umfangreiche Informationsrechte verlangen (monthly, quarterly, annual, budget). Stahlauge hat sie bereits. Aufwand für die Mandantin: jedes Reporting-Format einmal sauber aufbauen, dann gleichmäßig an alle Berechtigten verteilen. Klassischer Organisationsfehler: nur an Northbridge schicken und Stahlauge übersehen.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MFN. Wenn Northbridge stärkere Rechte erhält (z. B. monatlicher KPI-Bericht, Direktzugang zu Daten), kann Stahlauge unter Section 3 die gleichen Rechte verlangen. Achtung: MFN-Klauseln können ohne ausdrücklichen Trigger auslösen.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Pro Rata Right. Stahlauge kann beim Series-A-Closing pro rata mitziehen. Im Cap-Table-Modell entsprechend reservieren. Northbridge-Mindestquote im Term Sheet (Investor Director Sitz an Series A Majority) prüfen, ob Stahlauges Pro-rata-Anteil die Majoritätsschwelle beeinflusst.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Seed Preference Confirmation. Im Series-A-SHA ausdrücklich aufzunehmen: Stahlauge behält seine Seed-Präferenz. Stack-Frage: Wer kommt zuerst, Series A (junior) oder Seed (senior)? Marktüblich Series A „pari passu mit Seed" oder „senior zu Seed". Term Sheet schweigt. Klärungsbedarf.</w:t>
      </w:r>
    </w:p>
    <w:p/>
    <w:p>
      <w:pPr>
        <w:pStyle w:val="Heading2"/>
      </w:pPr>
      <w:r>
        <w:t>Side Letter Northbridge Series A, Entwurf der Investor Counsel vom 24.05.2026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1 Reserved Matters Investor Director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The Investor Director shall have a veto right on the Reserved Matters set out in Annex 1 of the SHA. The Investor shall be entitled to consult the Investor Director prior to any board meeting at which Reserved Matters are discussed.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2 Information Rights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In addition to the Information Rights granted under the SHA, the Investor shall be entitled to: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(a) monthly KPI dashboard delivered no later than the 10th business day after month-end, in the format provided by the Investor;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(b) quarterly investor update calls with the founders;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(c) access to the Company's data room during the term of investment, including legal documents, contracts above EUR 250,000, and personnel files of C-level employees on a need-to-know basis.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3 Most Favoured Investor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If the Company grants to any other investor in any subsequent financing any rights more favourable than those granted to Northbridge, the Company shall promptly offer such rights to Northbridge.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Section 4 Anti-Embarrassment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For a period of 24 months following Closing, the Company shall procure that no transfer of shares occurs at a valuation higher than 130 percent of the Series A valuation without first consulting the Investor.</w:t>
      </w:r>
    </w:p>
    <w:p/>
    <w:p>
      <w:pPr>
        <w:pStyle w:val="Heading2"/>
      </w:pPr>
      <w:r>
        <w:t>Spannungspunkte für Senior-Review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KPI Dashboard im Investor-Format. Klingt harmlos, ist es aber nicht. Wenn Northbridge ein „bestimmtes Format" vorschreibt, kann das de facto eine kontinuierliche Reporting-Pflicht aus der Geschäftsführung herausnehmen und an die CFO-Funktion delegieren. Mandantin muss die operative Last verstehen.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Data Room Access Personalakten. Section 2 (c) erlaubt Zugriff auf Personalakten von C-Level. Datenschutzrechtlich nach Artikel 6 DSGVO und Paragraf 26 BDSG zu prüfen, ob eine Rechtsgrundlage für diese Verarbeitung besteht. Vermutlich nur mit Einwilligung der betroffenen Personen oder anonymisierten Daten.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Anti-Embarrassment Clause. Section 4 wirkt wie ein verschleiertes Vorkaufsrecht. Praktische Folge: jeder Sekundärverkauf, etwa der Gründer an Bestandsinvestoren, wird de facto blockiert. Verhandeln.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Most Favoured Investor. Northbridge will sich gegen MFN-Effekte des Stahlauge-Side-Letters absichern. Sauberes Mapping mit dem Stahlauge-Side-Letter erforderlich. Wenn beide Investoren MFN haben, droht eine Endlosspirale: jede Verbesserung für einen Investor zieht die Verbesserung für den anderen nach sich. Lösung: Stichtagsbezug oder Ausnahmen klar definieren.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Reserved Matters Veto. Die Klausel formuliert das Veto auf Investor-Director-Ebene. Die GmbH-Organstruktur ist aber eine andere: Geschäftsführer haften organrechtlich. Wenn der Investor Director ein Veto-Recht hat, muss die interne Geschäftsordnung der Geschäftsführung dies abbilden, oder der Vorbehalt muss auf Gesellschafterebene gespiegelt werden. Sonst Reibungsverluste in der Praxis.</w:t>
      </w:r>
    </w:p>
    <w:p/>
    <w:p>
      <w:pPr>
        <w:pStyle w:val="Heading2"/>
      </w:pPr>
      <w:r>
        <w:t>Skizze Information-Rights-Stack nach Closing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16"/>
        <w:gridCol w:w="2416"/>
        <w:gridCol w:w="2416"/>
        <w:gridCol w:w="2416"/>
      </w:tblGrid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Empfänger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Frequenz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Inhalt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Rechtsgrundlage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monatlich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P+L, Cash, Burn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Seed Side Letter Section 1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quarterly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Business Review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Seed Side Letter Section 1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Growth III SCS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monatlich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KPI Dashboard im Investor-Format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Side Letter Section 2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Growth III SCS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quarterly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Investor Update Call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Side Letter Section 2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Northbridge Growth III SCS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annually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Audited Statements, Budget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SHA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Krämer Angel Pool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annually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Audited Statements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SHA, sofern aufgenommen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VSOP-Teilnehmer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annually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VSOP-Reporting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VSOP-Bedingungen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Beirat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quarterly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Geschäftsbericht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Beiratsgeschäftsordnung</w:t>
            </w:r>
          </w:p>
        </w:tc>
      </w:tr>
    </w:tbl>
    <w:p/>
    <w:p/>
    <w:p>
      <w:pPr>
        <w:pStyle w:val="Heading2"/>
      </w:pPr>
      <w:r>
        <w:t>Praxistipp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Ein gutes internes Reporting-System schluckt alle Empfänger ohne Mehraufwand. Ein schlechtes erzeugt Konflikte mit dem nächsten Investor, weil die Mandantin überfordert ist. Hildemar wird gebeten, die Mandantin auf die operative Reporting-Last hinzuweisen, bevor die Tinte trocknet.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