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14 Board und Consent Matters Mapping Deutsch Englisch</w:t>
      </w:r>
    </w:p>
    <w:p/>
    <w:p>
      <w:pPr>
        <w:spacing w:after="80"/>
        <w:jc w:val="both"/>
      </w:pPr>
      <w:r>
        <w:rPr>
          <w:rFonts w:ascii="Times New Roman" w:hAnsi="Times New Roman"/>
          <w:sz w:val="21"/>
        </w:rPr>
        <w:t>Internes Arbeitsdokument für das Mapping der Term-Sheet-Klausel „Investor Director Approval" in die deutsche GmbH-Welt. Wird in Datei 11 mehrfach referenziert.</w:t>
      </w:r>
    </w:p>
    <w:p/>
    <w:p>
      <w:pPr>
        <w:pStyle w:val="Heading2"/>
      </w:pPr>
      <w:r>
        <w:t>Ausgangspunkt</w:t>
      </w:r>
    </w:p>
    <w:p/>
    <w:p>
      <w:pPr>
        <w:spacing w:after="80"/>
        <w:jc w:val="both"/>
      </w:pPr>
      <w:r>
        <w:rPr>
          <w:rFonts w:ascii="Times New Roman" w:hAnsi="Times New Roman"/>
          <w:sz w:val="21"/>
        </w:rPr>
        <w:t>Im Term Sheet steht „Investor Director Approval", als sei das ein Block-Veto am Board-Tisch wie in Delaware. Die GmbH kennt kein Board. Jede Klausel ist deshalb in drei Organebenen zu denken: (a) Geschäftsführung, (b) Gesellschafterversammlung, (c) Beirat (sofern installiert und mit Kompetenzen versehen).</w:t>
      </w:r>
    </w:p>
    <w:p/>
    <w:p>
      <w:pPr>
        <w:pStyle w:val="Heading2"/>
      </w:pPr>
      <w:r>
        <w:t>Regelfragen vor jedem Mapping</w:t>
      </w:r>
    </w:p>
    <w:p/>
    <w:p>
      <w:pPr>
        <w:spacing w:after="80"/>
        <w:jc w:val="both"/>
      </w:pPr>
      <w:r>
        <w:rPr>
          <w:rFonts w:ascii="Times New Roman" w:hAnsi="Times New Roman"/>
          <w:sz w:val="21"/>
        </w:rPr>
        <w:t>Frage 1: Ist die Materie organrechtlich allein der Geschäftsführung zugewiesen (Paragraf 35, 37 GmbHG)?</w:t>
      </w:r>
    </w:p>
    <w:p/>
    <w:p>
      <w:pPr>
        <w:spacing w:after="80"/>
        <w:jc w:val="both"/>
      </w:pPr>
      <w:r>
        <w:rPr>
          <w:rFonts w:ascii="Times New Roman" w:hAnsi="Times New Roman"/>
          <w:sz w:val="21"/>
        </w:rPr>
        <w:t>Frage 2: Verlangt die Materie organrechtlich die Gesellschafterversammlung (Paragraf 46 GmbHG, ggf. mit qualifizierter Mehrheit)?</w:t>
      </w:r>
    </w:p>
    <w:p/>
    <w:p>
      <w:pPr>
        <w:spacing w:after="80"/>
        <w:jc w:val="both"/>
      </w:pPr>
      <w:r>
        <w:rPr>
          <w:rFonts w:ascii="Times New Roman" w:hAnsi="Times New Roman"/>
          <w:sz w:val="21"/>
        </w:rPr>
        <w:t>Frage 3: Kann die Materie durch Satzungsregelung an einen Beirat delegiert oder von einem Beirat genehmigungspflichtig gestellt werden?</w:t>
      </w:r>
    </w:p>
    <w:p/>
    <w:p>
      <w:pPr>
        <w:spacing w:after="80"/>
        <w:jc w:val="both"/>
      </w:pPr>
      <w:r>
        <w:rPr>
          <w:rFonts w:ascii="Times New Roman" w:hAnsi="Times New Roman"/>
          <w:sz w:val="21"/>
        </w:rPr>
        <w:t>Frage 4: Welcher Zustimmungsweg ist gegenüber Dritten wirksam, welcher nur schuldrechtlich?</w:t>
      </w:r>
    </w:p>
    <w:p/>
    <w:p>
      <w:pPr>
        <w:pStyle w:val="Heading2"/>
      </w:pPr>
      <w:r>
        <w:t>Mapping für die Reserved Matters Liste aus dem Term Sheet</w:t>
      </w:r>
    </w:p>
    <w:p/>
    <w:tbl>
      <w:tblPr>
        <w:tblStyle w:val="TableGrid"/>
        <w:tblW w:type="auto" w:w="0"/>
        <w:jc w:val="center"/>
        <w:tblLook w:firstColumn="1" w:firstRow="1" w:lastColumn="0" w:lastRow="0" w:noHBand="0" w:noVBand="1" w:val="04A0"/>
      </w:tblPr>
      <w:tblGrid>
        <w:gridCol w:w="2416"/>
        <w:gridCol w:w="2416"/>
        <w:gridCol w:w="2416"/>
        <w:gridCol w:w="2416"/>
      </w:tblGrid>
      <w:tr>
        <w:tc>
          <w:tcPr>
            <w:tcW w:type="dxa" w:w="2416"/>
            <w:vAlign w:val="center"/>
            <w:tcMar>
              <w:top w:w="90" w:type="dxa"/>
              <w:start w:w="90" w:type="dxa"/>
              <w:bottom w:w="90" w:type="dxa"/>
              <w:end w:w="90" w:type="dxa"/>
            </w:tcMar>
            <w:shd w:fill="E8EEF7"/>
          </w:tcPr>
          <w:p>
            <w:r>
              <w:rPr>
                <w:rFonts w:ascii="Times New Roman" w:hAnsi="Times New Roman"/>
                <w:b/>
                <w:sz w:val="17"/>
              </w:rPr>
              <w:t>Reserved Matter (Term Sheet)</w:t>
            </w:r>
          </w:p>
        </w:tc>
        <w:tc>
          <w:tcPr>
            <w:tcW w:type="dxa" w:w="2416"/>
            <w:vAlign w:val="center"/>
            <w:tcMar>
              <w:top w:w="90" w:type="dxa"/>
              <w:start w:w="90" w:type="dxa"/>
              <w:bottom w:w="90" w:type="dxa"/>
              <w:end w:w="90" w:type="dxa"/>
            </w:tcMar>
            <w:shd w:fill="E8EEF7"/>
          </w:tcPr>
          <w:p>
            <w:r>
              <w:rPr>
                <w:rFonts w:ascii="Times New Roman" w:hAnsi="Times New Roman"/>
                <w:b/>
                <w:sz w:val="17"/>
              </w:rPr>
              <w:t>Deutsche Umsetzung</w:t>
            </w:r>
          </w:p>
        </w:tc>
        <w:tc>
          <w:tcPr>
            <w:tcW w:type="dxa" w:w="2416"/>
            <w:vAlign w:val="center"/>
            <w:tcMar>
              <w:top w:w="90" w:type="dxa"/>
              <w:start w:w="90" w:type="dxa"/>
              <w:bottom w:w="90" w:type="dxa"/>
              <w:end w:w="90" w:type="dxa"/>
            </w:tcMar>
            <w:shd w:fill="E8EEF7"/>
          </w:tcPr>
          <w:p>
            <w:r>
              <w:rPr>
                <w:rFonts w:ascii="Times New Roman" w:hAnsi="Times New Roman"/>
                <w:b/>
                <w:sz w:val="17"/>
              </w:rPr>
              <w:t>Ebene</w:t>
            </w:r>
          </w:p>
        </w:tc>
        <w:tc>
          <w:tcPr>
            <w:tcW w:type="dxa" w:w="2416"/>
            <w:vAlign w:val="center"/>
            <w:tcMar>
              <w:top w:w="90" w:type="dxa"/>
              <w:start w:w="90" w:type="dxa"/>
              <w:bottom w:w="90" w:type="dxa"/>
              <w:end w:w="90" w:type="dxa"/>
            </w:tcMar>
            <w:shd w:fill="E8EEF7"/>
          </w:tcPr>
          <w:p>
            <w:r>
              <w:rPr>
                <w:rFonts w:ascii="Times New Roman" w:hAnsi="Times New Roman"/>
                <w:b/>
                <w:sz w:val="17"/>
              </w:rPr>
              <w:t>Rechtsgrundlage / Hinweis</w:t>
            </w:r>
          </w:p>
        </w:tc>
      </w:tr>
      <w:tr>
        <w:tc>
          <w:tcPr>
            <w:tcW w:type="dxa" w:w="2416"/>
            <w:vAlign w:val="center"/>
            <w:tcMar>
              <w:top w:w="90" w:type="dxa"/>
              <w:start w:w="90" w:type="dxa"/>
              <w:bottom w:w="90" w:type="dxa"/>
              <w:end w:w="90" w:type="dxa"/>
            </w:tcMar>
          </w:tcPr>
          <w:p>
            <w:r>
              <w:rPr>
                <w:rFonts w:ascii="Times New Roman" w:hAnsi="Times New Roman"/>
                <w:sz w:val="17"/>
              </w:rPr>
              <w:t>Annual budget and business plan</w:t>
            </w:r>
          </w:p>
        </w:tc>
        <w:tc>
          <w:tcPr>
            <w:tcW w:type="dxa" w:w="2416"/>
            <w:vAlign w:val="center"/>
            <w:tcMar>
              <w:top w:w="90" w:type="dxa"/>
              <w:start w:w="90" w:type="dxa"/>
              <w:bottom w:w="90" w:type="dxa"/>
              <w:end w:w="90" w:type="dxa"/>
            </w:tcMar>
          </w:tcPr>
          <w:p>
            <w:r>
              <w:rPr>
                <w:rFonts w:ascii="Times New Roman" w:hAnsi="Times New Roman"/>
                <w:sz w:val="17"/>
              </w:rPr>
              <w:t>Beiratsgenehmigung, sofern Beirat zuständig; sonst Geschäftsführer-Zustimmungsvorbehalt in der Geschäftsordnung</w:t>
            </w:r>
          </w:p>
        </w:tc>
        <w:tc>
          <w:tcPr>
            <w:tcW w:type="dxa" w:w="2416"/>
            <w:vAlign w:val="center"/>
            <w:tcMar>
              <w:top w:w="90" w:type="dxa"/>
              <w:start w:w="90" w:type="dxa"/>
              <w:bottom w:w="90" w:type="dxa"/>
              <w:end w:w="90" w:type="dxa"/>
            </w:tcMar>
          </w:tcPr>
          <w:p>
            <w:r>
              <w:rPr>
                <w:rFonts w:ascii="Times New Roman" w:hAnsi="Times New Roman"/>
                <w:sz w:val="17"/>
              </w:rPr>
              <w:t>Beirat oder GF-Geschäftsordnung</w:t>
            </w:r>
          </w:p>
        </w:tc>
        <w:tc>
          <w:tcPr>
            <w:tcW w:type="dxa" w:w="2416"/>
            <w:vAlign w:val="center"/>
            <w:tcMar>
              <w:top w:w="90" w:type="dxa"/>
              <w:start w:w="90" w:type="dxa"/>
              <w:bottom w:w="90" w:type="dxa"/>
              <w:end w:w="90" w:type="dxa"/>
            </w:tcMar>
          </w:tcPr>
          <w:p>
            <w:r>
              <w:rPr>
                <w:rFonts w:ascii="Times New Roman" w:hAnsi="Times New Roman"/>
                <w:sz w:val="17"/>
              </w:rPr>
              <w:t>Investor Director Approval als Beiratssitz-Stimme; intern abbilden</w:t>
            </w:r>
          </w:p>
        </w:tc>
      </w:tr>
      <w:tr>
        <w:tc>
          <w:tcPr>
            <w:tcW w:type="dxa" w:w="2416"/>
            <w:vAlign w:val="center"/>
            <w:tcMar>
              <w:top w:w="90" w:type="dxa"/>
              <w:start w:w="90" w:type="dxa"/>
              <w:bottom w:w="90" w:type="dxa"/>
              <w:end w:w="90" w:type="dxa"/>
            </w:tcMar>
          </w:tcPr>
          <w:p>
            <w:r>
              <w:rPr>
                <w:rFonts w:ascii="Times New Roman" w:hAnsi="Times New Roman"/>
                <w:sz w:val="17"/>
              </w:rPr>
              <w:t>Debt exceeding EUR 150,000</w:t>
            </w:r>
          </w:p>
        </w:tc>
        <w:tc>
          <w:tcPr>
            <w:tcW w:type="dxa" w:w="2416"/>
            <w:vAlign w:val="center"/>
            <w:tcMar>
              <w:top w:w="90" w:type="dxa"/>
              <w:start w:w="90" w:type="dxa"/>
              <w:bottom w:w="90" w:type="dxa"/>
              <w:end w:w="90" w:type="dxa"/>
            </w:tcMar>
          </w:tcPr>
          <w:p>
            <w:r>
              <w:rPr>
                <w:rFonts w:ascii="Times New Roman" w:hAnsi="Times New Roman"/>
                <w:sz w:val="17"/>
              </w:rPr>
              <w:t>Geschäftsordnung der Geschäftsführung mit Zustimmungsvorbehalt</w:t>
            </w:r>
          </w:p>
        </w:tc>
        <w:tc>
          <w:tcPr>
            <w:tcW w:type="dxa" w:w="2416"/>
            <w:vAlign w:val="center"/>
            <w:tcMar>
              <w:top w:w="90" w:type="dxa"/>
              <w:start w:w="90" w:type="dxa"/>
              <w:bottom w:w="90" w:type="dxa"/>
              <w:end w:w="90" w:type="dxa"/>
            </w:tcMar>
          </w:tcPr>
          <w:p>
            <w:r>
              <w:rPr>
                <w:rFonts w:ascii="Times New Roman" w:hAnsi="Times New Roman"/>
                <w:sz w:val="17"/>
              </w:rPr>
              <w:t>GF-Geschäftsordnung</w:t>
            </w:r>
          </w:p>
        </w:tc>
        <w:tc>
          <w:tcPr>
            <w:tcW w:type="dxa" w:w="2416"/>
            <w:vAlign w:val="center"/>
            <w:tcMar>
              <w:top w:w="90" w:type="dxa"/>
              <w:start w:w="90" w:type="dxa"/>
              <w:bottom w:w="90" w:type="dxa"/>
              <w:end w:w="90" w:type="dxa"/>
            </w:tcMar>
          </w:tcPr>
          <w:p>
            <w:r>
              <w:rPr>
                <w:rFonts w:ascii="Times New Roman" w:hAnsi="Times New Roman"/>
                <w:sz w:val="17"/>
              </w:rPr>
              <w:t>bei Außenwirkung Kreditaufnahme zusätzlich Beirats- oder Gesellschafter-Veto sinnvoll</w:t>
            </w:r>
          </w:p>
        </w:tc>
      </w:tr>
      <w:tr>
        <w:tc>
          <w:tcPr>
            <w:tcW w:type="dxa" w:w="2416"/>
            <w:vAlign w:val="center"/>
            <w:tcMar>
              <w:top w:w="90" w:type="dxa"/>
              <w:start w:w="90" w:type="dxa"/>
              <w:bottom w:w="90" w:type="dxa"/>
              <w:end w:w="90" w:type="dxa"/>
            </w:tcMar>
          </w:tcPr>
          <w:p>
            <w:r>
              <w:rPr>
                <w:rFonts w:ascii="Times New Roman" w:hAnsi="Times New Roman"/>
                <w:sz w:val="17"/>
              </w:rPr>
              <w:t>Hiring or dismissal of C-level employees</w:t>
            </w:r>
          </w:p>
        </w:tc>
        <w:tc>
          <w:tcPr>
            <w:tcW w:type="dxa" w:w="2416"/>
            <w:vAlign w:val="center"/>
            <w:tcMar>
              <w:top w:w="90" w:type="dxa"/>
              <w:start w:w="90" w:type="dxa"/>
              <w:bottom w:w="90" w:type="dxa"/>
              <w:end w:w="90" w:type="dxa"/>
            </w:tcMar>
          </w:tcPr>
          <w:p>
            <w:r>
              <w:rPr>
                <w:rFonts w:ascii="Times New Roman" w:hAnsi="Times New Roman"/>
                <w:sz w:val="17"/>
              </w:rPr>
              <w:t>Geschäftsordnung der Geschäftsführung mit Zustimmungsvorbehalt</w:t>
            </w:r>
          </w:p>
        </w:tc>
        <w:tc>
          <w:tcPr>
            <w:tcW w:type="dxa" w:w="2416"/>
            <w:vAlign w:val="center"/>
            <w:tcMar>
              <w:top w:w="90" w:type="dxa"/>
              <w:start w:w="90" w:type="dxa"/>
              <w:bottom w:w="90" w:type="dxa"/>
              <w:end w:w="90" w:type="dxa"/>
            </w:tcMar>
          </w:tcPr>
          <w:p>
            <w:r>
              <w:rPr>
                <w:rFonts w:ascii="Times New Roman" w:hAnsi="Times New Roman"/>
                <w:sz w:val="17"/>
              </w:rPr>
              <w:t>GF-Geschäftsordnung; ggf. Beirat</w:t>
            </w:r>
          </w:p>
        </w:tc>
        <w:tc>
          <w:tcPr>
            <w:tcW w:type="dxa" w:w="2416"/>
            <w:vAlign w:val="center"/>
            <w:tcMar>
              <w:top w:w="90" w:type="dxa"/>
              <w:start w:w="90" w:type="dxa"/>
              <w:bottom w:w="90" w:type="dxa"/>
              <w:end w:w="90" w:type="dxa"/>
            </w:tcMar>
          </w:tcPr>
          <w:p>
            <w:r>
              <w:rPr>
                <w:rFonts w:ascii="Times New Roman" w:hAnsi="Times New Roman"/>
                <w:sz w:val="17"/>
              </w:rPr>
              <w:t>bei Geschäftsführerbestellung Paragraf 46 Nr. 5 GmbHG, dann Gesellschafterversammlung zwingend</w:t>
            </w:r>
          </w:p>
        </w:tc>
      </w:tr>
      <w:tr>
        <w:tc>
          <w:tcPr>
            <w:tcW w:type="dxa" w:w="2416"/>
            <w:vAlign w:val="center"/>
            <w:tcMar>
              <w:top w:w="90" w:type="dxa"/>
              <w:start w:w="90" w:type="dxa"/>
              <w:bottom w:w="90" w:type="dxa"/>
              <w:end w:w="90" w:type="dxa"/>
            </w:tcMar>
          </w:tcPr>
          <w:p>
            <w:r>
              <w:rPr>
                <w:rFonts w:ascii="Times New Roman" w:hAnsi="Times New Roman"/>
                <w:sz w:val="17"/>
              </w:rPr>
              <w:t>Any change to the articles of association</w:t>
            </w:r>
          </w:p>
        </w:tc>
        <w:tc>
          <w:tcPr>
            <w:tcW w:type="dxa" w:w="2416"/>
            <w:vAlign w:val="center"/>
            <w:tcMar>
              <w:top w:w="90" w:type="dxa"/>
              <w:start w:w="90" w:type="dxa"/>
              <w:bottom w:w="90" w:type="dxa"/>
              <w:end w:w="90" w:type="dxa"/>
            </w:tcMar>
          </w:tcPr>
          <w:p>
            <w:r>
              <w:rPr>
                <w:rFonts w:ascii="Times New Roman" w:hAnsi="Times New Roman"/>
                <w:sz w:val="17"/>
              </w:rPr>
              <w:t>Gesellschafterversammlung 75 Prozent</w:t>
            </w:r>
          </w:p>
        </w:tc>
        <w:tc>
          <w:tcPr>
            <w:tcW w:type="dxa" w:w="2416"/>
            <w:vAlign w:val="center"/>
            <w:tcMar>
              <w:top w:w="90" w:type="dxa"/>
              <w:start w:w="90" w:type="dxa"/>
              <w:bottom w:w="90" w:type="dxa"/>
              <w:end w:w="90" w:type="dxa"/>
            </w:tcMar>
          </w:tcPr>
          <w:p>
            <w:r>
              <w:rPr>
                <w:rFonts w:ascii="Times New Roman" w:hAnsi="Times New Roman"/>
                <w:sz w:val="17"/>
              </w:rPr>
              <w:t>Gesellschafterversammlung</w:t>
            </w:r>
          </w:p>
        </w:tc>
        <w:tc>
          <w:tcPr>
            <w:tcW w:type="dxa" w:w="2416"/>
            <w:vAlign w:val="center"/>
            <w:tcMar>
              <w:top w:w="90" w:type="dxa"/>
              <w:start w:w="90" w:type="dxa"/>
              <w:bottom w:w="90" w:type="dxa"/>
              <w:end w:w="90" w:type="dxa"/>
            </w:tcMar>
          </w:tcPr>
          <w:p>
            <w:r>
              <w:rPr>
                <w:rFonts w:ascii="Times New Roman" w:hAnsi="Times New Roman"/>
                <w:sz w:val="17"/>
              </w:rPr>
              <w:t>Paragraf 53 Absatz 2 GmbHG; SHA-Klausel reicht nicht aus</w:t>
            </w:r>
          </w:p>
        </w:tc>
      </w:tr>
      <w:tr>
        <w:tc>
          <w:tcPr>
            <w:tcW w:type="dxa" w:w="2416"/>
            <w:vAlign w:val="center"/>
            <w:tcMar>
              <w:top w:w="90" w:type="dxa"/>
              <w:start w:w="90" w:type="dxa"/>
              <w:bottom w:w="90" w:type="dxa"/>
              <w:end w:w="90" w:type="dxa"/>
            </w:tcMar>
          </w:tcPr>
          <w:p>
            <w:r>
              <w:rPr>
                <w:rFonts w:ascii="Times New Roman" w:hAnsi="Times New Roman"/>
                <w:sz w:val="17"/>
              </w:rPr>
              <w:t>Issuance of shares or share equivalents</w:t>
            </w:r>
          </w:p>
        </w:tc>
        <w:tc>
          <w:tcPr>
            <w:tcW w:type="dxa" w:w="2416"/>
            <w:vAlign w:val="center"/>
            <w:tcMar>
              <w:top w:w="90" w:type="dxa"/>
              <w:start w:w="90" w:type="dxa"/>
              <w:bottom w:w="90" w:type="dxa"/>
              <w:end w:w="90" w:type="dxa"/>
            </w:tcMar>
          </w:tcPr>
          <w:p>
            <w:r>
              <w:rPr>
                <w:rFonts w:ascii="Times New Roman" w:hAnsi="Times New Roman"/>
                <w:sz w:val="17"/>
              </w:rPr>
              <w:t>Gesellschafterversammlung 75 Prozent</w:t>
            </w:r>
          </w:p>
        </w:tc>
        <w:tc>
          <w:tcPr>
            <w:tcW w:type="dxa" w:w="2416"/>
            <w:vAlign w:val="center"/>
            <w:tcMar>
              <w:top w:w="90" w:type="dxa"/>
              <w:start w:w="90" w:type="dxa"/>
              <w:bottom w:w="90" w:type="dxa"/>
              <w:end w:w="90" w:type="dxa"/>
            </w:tcMar>
          </w:tcPr>
          <w:p>
            <w:r>
              <w:rPr>
                <w:rFonts w:ascii="Times New Roman" w:hAnsi="Times New Roman"/>
                <w:sz w:val="17"/>
              </w:rPr>
              <w:t>Gesellschafterversammlung</w:t>
            </w:r>
          </w:p>
        </w:tc>
        <w:tc>
          <w:tcPr>
            <w:tcW w:type="dxa" w:w="2416"/>
            <w:vAlign w:val="center"/>
            <w:tcMar>
              <w:top w:w="90" w:type="dxa"/>
              <w:start w:w="90" w:type="dxa"/>
              <w:bottom w:w="90" w:type="dxa"/>
              <w:end w:w="90" w:type="dxa"/>
            </w:tcMar>
          </w:tcPr>
          <w:p>
            <w:r>
              <w:rPr>
                <w:rFonts w:ascii="Times New Roman" w:hAnsi="Times New Roman"/>
                <w:sz w:val="17"/>
              </w:rPr>
              <w:t>Kapitalerhöhung, Paragraf 53, 55 GmbHG; Side-Letter-Veto wirkt nur inter partes</w:t>
            </w:r>
          </w:p>
        </w:tc>
      </w:tr>
      <w:tr>
        <w:tc>
          <w:tcPr>
            <w:tcW w:type="dxa" w:w="2416"/>
            <w:vAlign w:val="center"/>
            <w:tcMar>
              <w:top w:w="90" w:type="dxa"/>
              <w:start w:w="90" w:type="dxa"/>
              <w:bottom w:w="90" w:type="dxa"/>
              <w:end w:w="90" w:type="dxa"/>
            </w:tcMar>
          </w:tcPr>
          <w:p>
            <w:r>
              <w:rPr>
                <w:rFonts w:ascii="Times New Roman" w:hAnsi="Times New Roman"/>
                <w:sz w:val="17"/>
              </w:rPr>
              <w:t>Acquisition or disposal of material IP</w:t>
            </w:r>
          </w:p>
        </w:tc>
        <w:tc>
          <w:tcPr>
            <w:tcW w:type="dxa" w:w="2416"/>
            <w:vAlign w:val="center"/>
            <w:tcMar>
              <w:top w:w="90" w:type="dxa"/>
              <w:start w:w="90" w:type="dxa"/>
              <w:bottom w:w="90" w:type="dxa"/>
              <w:end w:w="90" w:type="dxa"/>
            </w:tcMar>
          </w:tcPr>
          <w:p>
            <w:r>
              <w:rPr>
                <w:rFonts w:ascii="Times New Roman" w:hAnsi="Times New Roman"/>
                <w:sz w:val="17"/>
              </w:rPr>
              <w:t>Geschäftsordnung der Geschäftsführung mit Zustimmungsvorbehalt</w:t>
            </w:r>
          </w:p>
        </w:tc>
        <w:tc>
          <w:tcPr>
            <w:tcW w:type="dxa" w:w="2416"/>
            <w:vAlign w:val="center"/>
            <w:tcMar>
              <w:top w:w="90" w:type="dxa"/>
              <w:start w:w="90" w:type="dxa"/>
              <w:bottom w:w="90" w:type="dxa"/>
              <w:end w:w="90" w:type="dxa"/>
            </w:tcMar>
          </w:tcPr>
          <w:p>
            <w:r>
              <w:rPr>
                <w:rFonts w:ascii="Times New Roman" w:hAnsi="Times New Roman"/>
                <w:sz w:val="17"/>
              </w:rPr>
              <w:t>GF-Geschäftsordnung; ggf. Beirat</w:t>
            </w:r>
          </w:p>
        </w:tc>
        <w:tc>
          <w:tcPr>
            <w:tcW w:type="dxa" w:w="2416"/>
            <w:vAlign w:val="center"/>
            <w:tcMar>
              <w:top w:w="90" w:type="dxa"/>
              <w:start w:w="90" w:type="dxa"/>
              <w:bottom w:w="90" w:type="dxa"/>
              <w:end w:w="90" w:type="dxa"/>
            </w:tcMar>
          </w:tcPr>
          <w:p>
            <w:r>
              <w:rPr>
                <w:rFonts w:ascii="Times New Roman" w:hAnsi="Times New Roman"/>
                <w:sz w:val="17"/>
              </w:rPr>
              <w:t>wenn IP wesentlich, kann analog Holzmüller-Linie eine Gesellschafterversammlung erforderlich sein, abhängig von der Wesentlichkeit</w:t>
            </w:r>
          </w:p>
        </w:tc>
      </w:tr>
      <w:tr>
        <w:tc>
          <w:tcPr>
            <w:tcW w:type="dxa" w:w="2416"/>
            <w:vAlign w:val="center"/>
            <w:tcMar>
              <w:top w:w="90" w:type="dxa"/>
              <w:start w:w="90" w:type="dxa"/>
              <w:bottom w:w="90" w:type="dxa"/>
              <w:end w:w="90" w:type="dxa"/>
            </w:tcMar>
          </w:tcPr>
          <w:p>
            <w:r>
              <w:rPr>
                <w:rFonts w:ascii="Times New Roman" w:hAnsi="Times New Roman"/>
                <w:sz w:val="17"/>
              </w:rPr>
              <w:t>Settlement of litigation exceeding EUR 75,000</w:t>
            </w:r>
          </w:p>
        </w:tc>
        <w:tc>
          <w:tcPr>
            <w:tcW w:type="dxa" w:w="2416"/>
            <w:vAlign w:val="center"/>
            <w:tcMar>
              <w:top w:w="90" w:type="dxa"/>
              <w:start w:w="90" w:type="dxa"/>
              <w:bottom w:w="90" w:type="dxa"/>
              <w:end w:w="90" w:type="dxa"/>
            </w:tcMar>
          </w:tcPr>
          <w:p>
            <w:r>
              <w:rPr>
                <w:rFonts w:ascii="Times New Roman" w:hAnsi="Times New Roman"/>
                <w:sz w:val="17"/>
              </w:rPr>
              <w:t>Geschäftsordnung der Geschäftsführung mit Zustimmungsvorbehalt</w:t>
            </w:r>
          </w:p>
        </w:tc>
        <w:tc>
          <w:tcPr>
            <w:tcW w:type="dxa" w:w="2416"/>
            <w:vAlign w:val="center"/>
            <w:tcMar>
              <w:top w:w="90" w:type="dxa"/>
              <w:start w:w="90" w:type="dxa"/>
              <w:bottom w:w="90" w:type="dxa"/>
              <w:end w:w="90" w:type="dxa"/>
            </w:tcMar>
          </w:tcPr>
          <w:p>
            <w:r>
              <w:rPr>
                <w:rFonts w:ascii="Times New Roman" w:hAnsi="Times New Roman"/>
                <w:sz w:val="17"/>
              </w:rPr>
              <w:t>GF-Geschäftsordnung; ggf. Beirat</w:t>
            </w:r>
          </w:p>
        </w:tc>
        <w:tc>
          <w:tcPr>
            <w:tcW w:type="dxa" w:w="2416"/>
            <w:vAlign w:val="center"/>
            <w:tcMar>
              <w:top w:w="90" w:type="dxa"/>
              <w:start w:w="90" w:type="dxa"/>
              <w:bottom w:w="90" w:type="dxa"/>
              <w:end w:w="90" w:type="dxa"/>
            </w:tcMar>
          </w:tcPr>
          <w:p>
            <w:r>
              <w:rPr>
                <w:rFonts w:ascii="Times New Roman" w:hAnsi="Times New Roman"/>
                <w:sz w:val="17"/>
              </w:rPr>
              <w:t>reine schuldrechtliche Position</w:t>
            </w:r>
          </w:p>
        </w:tc>
      </w:tr>
      <w:tr>
        <w:tc>
          <w:tcPr>
            <w:tcW w:type="dxa" w:w="2416"/>
            <w:vAlign w:val="center"/>
            <w:tcMar>
              <w:top w:w="90" w:type="dxa"/>
              <w:start w:w="90" w:type="dxa"/>
              <w:bottom w:w="90" w:type="dxa"/>
              <w:end w:w="90" w:type="dxa"/>
            </w:tcMar>
          </w:tcPr>
          <w:p>
            <w:r>
              <w:rPr>
                <w:rFonts w:ascii="Times New Roman" w:hAnsi="Times New Roman"/>
                <w:sz w:val="17"/>
              </w:rPr>
              <w:t>Lay-offs exceeding 10 percent of workforce</w:t>
            </w:r>
          </w:p>
        </w:tc>
        <w:tc>
          <w:tcPr>
            <w:tcW w:type="dxa" w:w="2416"/>
            <w:vAlign w:val="center"/>
            <w:tcMar>
              <w:top w:w="90" w:type="dxa"/>
              <w:start w:w="90" w:type="dxa"/>
              <w:bottom w:w="90" w:type="dxa"/>
              <w:end w:w="90" w:type="dxa"/>
            </w:tcMar>
          </w:tcPr>
          <w:p>
            <w:r>
              <w:rPr>
                <w:rFonts w:ascii="Times New Roman" w:hAnsi="Times New Roman"/>
                <w:sz w:val="17"/>
              </w:rPr>
              <w:t>Geschäftsordnung der Geschäftsführung mit Zustimmungsvorbehalt</w:t>
            </w:r>
          </w:p>
        </w:tc>
        <w:tc>
          <w:tcPr>
            <w:tcW w:type="dxa" w:w="2416"/>
            <w:vAlign w:val="center"/>
            <w:tcMar>
              <w:top w:w="90" w:type="dxa"/>
              <w:start w:w="90" w:type="dxa"/>
              <w:bottom w:w="90" w:type="dxa"/>
              <w:end w:w="90" w:type="dxa"/>
            </w:tcMar>
          </w:tcPr>
          <w:p>
            <w:r>
              <w:rPr>
                <w:rFonts w:ascii="Times New Roman" w:hAnsi="Times New Roman"/>
                <w:sz w:val="17"/>
              </w:rPr>
              <w:t>GF-Geschäftsordnung; ggf. Beirat</w:t>
            </w:r>
          </w:p>
        </w:tc>
        <w:tc>
          <w:tcPr>
            <w:tcW w:type="dxa" w:w="2416"/>
            <w:vAlign w:val="center"/>
            <w:tcMar>
              <w:top w:w="90" w:type="dxa"/>
              <w:start w:w="90" w:type="dxa"/>
              <w:bottom w:w="90" w:type="dxa"/>
              <w:end w:w="90" w:type="dxa"/>
            </w:tcMar>
          </w:tcPr>
          <w:p>
            <w:r>
              <w:rPr>
                <w:rFonts w:ascii="Times New Roman" w:hAnsi="Times New Roman"/>
                <w:sz w:val="17"/>
              </w:rPr>
              <w:t>arbeitsrechtliche Mitbestimmungsthemen unberührt</w:t>
            </w:r>
          </w:p>
        </w:tc>
      </w:tr>
      <w:tr>
        <w:tc>
          <w:tcPr>
            <w:tcW w:type="dxa" w:w="2416"/>
            <w:vAlign w:val="center"/>
            <w:tcMar>
              <w:top w:w="90" w:type="dxa"/>
              <w:start w:w="90" w:type="dxa"/>
              <w:bottom w:w="90" w:type="dxa"/>
              <w:end w:w="90" w:type="dxa"/>
            </w:tcMar>
          </w:tcPr>
          <w:p>
            <w:r>
              <w:rPr>
                <w:rFonts w:ascii="Times New Roman" w:hAnsi="Times New Roman"/>
                <w:sz w:val="17"/>
              </w:rPr>
              <w:t>Entering into contracts above EUR 250,000 p.a.</w:t>
            </w:r>
          </w:p>
        </w:tc>
        <w:tc>
          <w:tcPr>
            <w:tcW w:type="dxa" w:w="2416"/>
            <w:vAlign w:val="center"/>
            <w:tcMar>
              <w:top w:w="90" w:type="dxa"/>
              <w:start w:w="90" w:type="dxa"/>
              <w:bottom w:w="90" w:type="dxa"/>
              <w:end w:w="90" w:type="dxa"/>
            </w:tcMar>
          </w:tcPr>
          <w:p>
            <w:r>
              <w:rPr>
                <w:rFonts w:ascii="Times New Roman" w:hAnsi="Times New Roman"/>
                <w:sz w:val="17"/>
              </w:rPr>
              <w:t>Gesellschafter-Veto oder Beirats-Veto</w:t>
            </w:r>
          </w:p>
        </w:tc>
        <w:tc>
          <w:tcPr>
            <w:tcW w:type="dxa" w:w="2416"/>
            <w:vAlign w:val="center"/>
            <w:tcMar>
              <w:top w:w="90" w:type="dxa"/>
              <w:start w:w="90" w:type="dxa"/>
              <w:bottom w:w="90" w:type="dxa"/>
              <w:end w:w="90" w:type="dxa"/>
            </w:tcMar>
          </w:tcPr>
          <w:p>
            <w:r>
              <w:rPr>
                <w:rFonts w:ascii="Times New Roman" w:hAnsi="Times New Roman"/>
                <w:sz w:val="17"/>
              </w:rPr>
              <w:t>Gesellschafter oder Beirat</w:t>
            </w:r>
          </w:p>
        </w:tc>
        <w:tc>
          <w:tcPr>
            <w:tcW w:type="dxa" w:w="2416"/>
            <w:vAlign w:val="center"/>
            <w:tcMar>
              <w:top w:w="90" w:type="dxa"/>
              <w:start w:w="90" w:type="dxa"/>
              <w:bottom w:w="90" w:type="dxa"/>
              <w:end w:w="90" w:type="dxa"/>
            </w:tcMar>
          </w:tcPr>
          <w:p>
            <w:r>
              <w:rPr>
                <w:rFonts w:ascii="Times New Roman" w:hAnsi="Times New Roman"/>
                <w:sz w:val="17"/>
              </w:rPr>
              <w:t>bei wesentlicher Bedeutung Gesellschafterversammlung sinnvoll</w:t>
            </w:r>
          </w:p>
        </w:tc>
      </w:tr>
      <w:tr>
        <w:tc>
          <w:tcPr>
            <w:tcW w:type="dxa" w:w="2416"/>
            <w:vAlign w:val="center"/>
            <w:tcMar>
              <w:top w:w="90" w:type="dxa"/>
              <w:start w:w="90" w:type="dxa"/>
              <w:bottom w:w="90" w:type="dxa"/>
              <w:end w:w="90" w:type="dxa"/>
            </w:tcMar>
          </w:tcPr>
          <w:p>
            <w:r>
              <w:rPr>
                <w:rFonts w:ascii="Times New Roman" w:hAnsi="Times New Roman"/>
                <w:sz w:val="17"/>
              </w:rPr>
              <w:t>Related-party transactions</w:t>
            </w:r>
          </w:p>
        </w:tc>
        <w:tc>
          <w:tcPr>
            <w:tcW w:type="dxa" w:w="2416"/>
            <w:vAlign w:val="center"/>
            <w:tcMar>
              <w:top w:w="90" w:type="dxa"/>
              <w:start w:w="90" w:type="dxa"/>
              <w:bottom w:w="90" w:type="dxa"/>
              <w:end w:w="90" w:type="dxa"/>
            </w:tcMar>
          </w:tcPr>
          <w:p>
            <w:r>
              <w:rPr>
                <w:rFonts w:ascii="Times New Roman" w:hAnsi="Times New Roman"/>
                <w:sz w:val="17"/>
              </w:rPr>
              <w:t>doppeltes Veto: Gesellschafter und Beirat</w:t>
            </w:r>
          </w:p>
        </w:tc>
        <w:tc>
          <w:tcPr>
            <w:tcW w:type="dxa" w:w="2416"/>
            <w:vAlign w:val="center"/>
            <w:tcMar>
              <w:top w:w="90" w:type="dxa"/>
              <w:start w:w="90" w:type="dxa"/>
              <w:bottom w:w="90" w:type="dxa"/>
              <w:end w:w="90" w:type="dxa"/>
            </w:tcMar>
          </w:tcPr>
          <w:p>
            <w:r>
              <w:rPr>
                <w:rFonts w:ascii="Times New Roman" w:hAnsi="Times New Roman"/>
                <w:sz w:val="17"/>
              </w:rPr>
              <w:t>beide</w:t>
            </w:r>
          </w:p>
        </w:tc>
        <w:tc>
          <w:tcPr>
            <w:tcW w:type="dxa" w:w="2416"/>
            <w:vAlign w:val="center"/>
            <w:tcMar>
              <w:top w:w="90" w:type="dxa"/>
              <w:start w:w="90" w:type="dxa"/>
              <w:bottom w:w="90" w:type="dxa"/>
              <w:end w:w="90" w:type="dxa"/>
            </w:tcMar>
          </w:tcPr>
          <w:p>
            <w:r>
              <w:rPr>
                <w:rFonts w:ascii="Times New Roman" w:hAnsi="Times New Roman"/>
                <w:sz w:val="17"/>
              </w:rPr>
              <w:t>Konflikt der Geschäftsführer vermeiden</w:t>
            </w:r>
          </w:p>
        </w:tc>
      </w:tr>
    </w:tbl>
    <w:p/>
    <w:p/>
    <w:p>
      <w:pPr>
        <w:pStyle w:val="Heading2"/>
      </w:pPr>
      <w:r>
        <w:t>Wirksamkeit gegenüber Dritten</w:t>
      </w:r>
    </w:p>
    <w:p/>
    <w:p>
      <w:pPr>
        <w:spacing w:after="80"/>
        <w:jc w:val="both"/>
      </w:pPr>
      <w:r>
        <w:rPr>
          <w:rFonts w:ascii="Times New Roman" w:hAnsi="Times New Roman"/>
          <w:sz w:val="21"/>
        </w:rPr>
        <w:t>Wichtig für Hildemar: ein Veto, das nur im SHA steht, wirkt nur inter partes. Wenn ein Geschäftsführer trotz SHA-Veto einen Vertrag mit einem Dritten schließt, ist der Vertrag dem Dritten gegenüber wirksam. Die Folge ist allenfalls eine Innenhaftung des Geschäftsführers und eine vertragliche Sanktion gegenüber den Vertragsparteien des SHA.</w:t>
      </w:r>
    </w:p>
    <w:p/>
    <w:p>
      <w:pPr>
        <w:spacing w:after="80"/>
        <w:jc w:val="both"/>
      </w:pPr>
      <w:r>
        <w:rPr>
          <w:rFonts w:ascii="Times New Roman" w:hAnsi="Times New Roman"/>
          <w:sz w:val="21"/>
        </w:rPr>
        <w:t>Wenn der Investor eine Außenwirkung wünscht, muss die Klausel in die Satzung übernommen werden (Vinkulierung von Anteilen, Geschäftsführerbestellung, Kapitalmaßnahmen). Außenwirkung bei reinen Geschäftsentscheidungen (Verträge, Personalentscheidungen) ist mit Satzung allein nicht herstellbar; hier hilft nur eine ausreichend klare Geschäftsführungs-Geschäftsordnung mit interner Sanktionierung.</w:t>
      </w:r>
    </w:p>
    <w:p/>
    <w:p>
      <w:pPr>
        <w:pStyle w:val="Heading2"/>
      </w:pPr>
      <w:r>
        <w:t>Beiratsfrage</w:t>
      </w:r>
    </w:p>
    <w:p/>
    <w:p>
      <w:pPr>
        <w:spacing w:after="80"/>
        <w:jc w:val="both"/>
      </w:pPr>
      <w:r>
        <w:rPr>
          <w:rFonts w:ascii="Times New Roman" w:hAnsi="Times New Roman"/>
          <w:sz w:val="21"/>
        </w:rPr>
        <w:t>Wenn Northbridge auf einem Investor Director Approval besteht und wir den Beirat operativ einbeziehen, ist zu klären:</w:t>
      </w:r>
    </w:p>
    <w:p/>
    <w:p>
      <w:pPr>
        <w:pStyle w:val="ListNumber"/>
      </w:pPr>
      <w:r>
        <w:rPr>
          <w:rFonts w:ascii="Times New Roman" w:hAnsi="Times New Roman"/>
          <w:sz w:val="20"/>
        </w:rPr>
        <w:t>Beirat Kompetenzgrundlage. Aktuelle Satzung Paragraf 11 sieht den Beirat nur beratend. Für Entscheidungskompetenz ist eine Geschäftsordnung erforderlich, die in der Beurkundung mitbeschlossen werden sollte.</w:t>
      </w:r>
    </w:p>
    <w:p>
      <w:pPr>
        <w:pStyle w:val="ListNumber"/>
      </w:pPr>
      <w:r>
        <w:rPr>
          <w:rFonts w:ascii="Times New Roman" w:hAnsi="Times New Roman"/>
          <w:sz w:val="20"/>
        </w:rPr>
        <w:t>Beiratszusammensetzung. Aktuell 3 Sitze, Term Sheet sieht 5 vor. Verteilung: 2 Gründer, 1 Investor Director, 2 Independents. Streit über Independents.</w:t>
      </w:r>
    </w:p>
    <w:p>
      <w:pPr>
        <w:pStyle w:val="ListNumber"/>
      </w:pPr>
      <w:r>
        <w:rPr>
          <w:rFonts w:ascii="Times New Roman" w:hAnsi="Times New Roman"/>
          <w:sz w:val="20"/>
        </w:rPr>
        <w:t>Stimmrechte. Einfache Mehrheit reicht bei rein beratendem Beirat nicht aus. Bei Entscheidungskompetenz ist eine qualifizierte Mehrheit mit Veto-Recht des Investor Director marktüblich.</w:t>
      </w:r>
    </w:p>
    <w:p>
      <w:pPr>
        <w:pStyle w:val="ListNumber"/>
      </w:pPr>
      <w:r>
        <w:rPr>
          <w:rFonts w:ascii="Times New Roman" w:hAnsi="Times New Roman"/>
          <w:sz w:val="20"/>
        </w:rPr>
        <w:t>Sitzungsformat. Mindestens vierteljährlich, häufig sechs pro Jahr. Video-Möglichkeit, Protokollführungs-Regeln, Geheimhaltung.</w:t>
      </w:r>
    </w:p>
    <w:p/>
    <w:p>
      <w:pPr>
        <w:pStyle w:val="Heading2"/>
      </w:pPr>
      <w:r>
        <w:t>Praxisfehler</w:t>
      </w:r>
    </w:p>
    <w:p/>
    <w:p>
      <w:pPr>
        <w:spacing w:after="80"/>
        <w:jc w:val="both"/>
      </w:pPr>
      <w:r>
        <w:rPr>
          <w:rFonts w:ascii="Times New Roman" w:hAnsi="Times New Roman"/>
          <w:sz w:val="21"/>
        </w:rPr>
        <w:t>Häufiger Strukturfehler in dieser Akte: alle Reserved Matters werden unbesehen in die Geschäftsordnung der Geschäftsführung übernommen, einschließlich Materien, die kraft Gesetzes der Gesellschafterversammlung vorbehalten sind (Paragraf 46 GmbHG). Effekt: zwei Wege parallel, beide widersprüchlich, am Ende keiner sauber.</w:t>
      </w:r>
    </w:p>
    <w:p/>
    <w:p>
      <w:pPr>
        <w:spacing w:after="80"/>
        <w:jc w:val="both"/>
      </w:pPr>
      <w:r>
        <w:rPr>
          <w:rFonts w:ascii="Times New Roman" w:hAnsi="Times New Roman"/>
          <w:sz w:val="21"/>
        </w:rPr>
        <w:t>Sauberer Pfad:</w:t>
      </w:r>
    </w:p>
    <w:p/>
    <w:p>
      <w:pPr>
        <w:pStyle w:val="ListNumber"/>
      </w:pPr>
      <w:r>
        <w:rPr>
          <w:rFonts w:ascii="Times New Roman" w:hAnsi="Times New Roman"/>
          <w:sz w:val="20"/>
        </w:rPr>
        <w:t>Zuerst die gesellschaftsrechtlich zwingenden Materien identifizieren (Paragraf 46 GmbHG, Paragraf 53 GmbHG).</w:t>
      </w:r>
    </w:p>
    <w:p>
      <w:pPr>
        <w:pStyle w:val="ListNumber"/>
      </w:pPr>
      <w:r>
        <w:rPr>
          <w:rFonts w:ascii="Times New Roman" w:hAnsi="Times New Roman"/>
          <w:sz w:val="20"/>
        </w:rPr>
        <w:t>Dann die Beiratskompetenzen definieren (Geschäftsordnung).</w:t>
      </w:r>
    </w:p>
    <w:p>
      <w:pPr>
        <w:pStyle w:val="ListNumber"/>
      </w:pPr>
      <w:r>
        <w:rPr>
          <w:rFonts w:ascii="Times New Roman" w:hAnsi="Times New Roman"/>
          <w:sz w:val="20"/>
        </w:rPr>
        <w:t>Dann die Geschäftsführungs-Geschäftsordnung mit den verbleibenden operativen Zustimmungsvorbehalten füllen.</w:t>
      </w:r>
    </w:p>
    <w:p>
      <w:pPr>
        <w:pStyle w:val="ListNumber"/>
      </w:pPr>
      <w:r>
        <w:rPr>
          <w:rFonts w:ascii="Times New Roman" w:hAnsi="Times New Roman"/>
          <w:sz w:val="20"/>
        </w:rPr>
        <w:t>Erst zum Schluss die SHA-/Side-Letter-Ebene als verbindliche Verpflichtung der Gesellschafter, ihre Stimmrechte entsprechend auszuüben.</w:t>
      </w:r>
    </w:p>
    <w:p/>
    <w:p>
      <w:pPr>
        <w:pStyle w:val="Heading2"/>
      </w:pPr>
      <w:r>
        <w:t>Kurznotiz für das nächste Briefing</w:t>
      </w:r>
    </w:p>
    <w:p/>
    <w:p>
      <w:pPr>
        <w:pStyle w:val="ListBullet"/>
      </w:pPr>
      <w:r>
        <w:rPr>
          <w:rFonts w:ascii="Times New Roman" w:hAnsi="Times New Roman"/>
          <w:sz w:val="20"/>
        </w:rPr>
        <w:t>„Reserved Matter" ist immer eine Frage: Welches Organ?</w:t>
      </w:r>
    </w:p>
    <w:p>
      <w:pPr>
        <w:pStyle w:val="ListBullet"/>
      </w:pPr>
      <w:r>
        <w:rPr>
          <w:rFonts w:ascii="Times New Roman" w:hAnsi="Times New Roman"/>
          <w:sz w:val="20"/>
        </w:rPr>
        <w:t>„Investor Director Approval" ist eine Frage: Welche Geschäftsordnung?</w:t>
      </w:r>
    </w:p>
    <w:p>
      <w:pPr>
        <w:pStyle w:val="ListBullet"/>
      </w:pPr>
      <w:r>
        <w:rPr>
          <w:rFonts w:ascii="Times New Roman" w:hAnsi="Times New Roman"/>
          <w:sz w:val="20"/>
        </w:rPr>
        <w:t>„Without prior written consent" wirkt nur, wenn schriftliches Verfahren organisiert ist.</w:t>
      </w:r>
    </w:p>
    <w:p>
      <w:pPr>
        <w:pStyle w:val="ListBullet"/>
      </w:pPr>
      <w:r>
        <w:rPr>
          <w:rFonts w:ascii="Times New Roman" w:hAnsi="Times New Roman"/>
          <w:sz w:val="20"/>
        </w:rPr>
        <w:t>„Pre-Closing Covenant" ist schuldrechtlich und endet mit Closing.</w:t>
      </w:r>
    </w:p>
    <w:p>
      <w:pPr>
        <w:pStyle w:val="ListBullet"/>
      </w:pPr>
      <w:r>
        <w:rPr>
          <w:rFonts w:ascii="Times New Roman" w:hAnsi="Times New Roman"/>
          <w:sz w:val="20"/>
        </w:rPr>
        <w:t>„Post-Closing Covenant" ist schuldrechtlich und gilt darüber hinaus.</w:t>
      </w:r>
    </w:p>
    <w:p/>
    <w:p>
      <w:pPr>
        <w:pStyle w:val="Heading2"/>
      </w:pPr>
      <w:r>
        <w:t>Sinnvolle Quellen zur Verifikation</w:t>
      </w:r>
    </w:p>
    <w:p/>
    <w:p>
      <w:pPr>
        <w:pStyle w:val="ListBullet"/>
      </w:pPr>
      <w:r>
        <w:rPr>
          <w:rFonts w:ascii="Times New Roman" w:hAnsi="Times New Roman"/>
          <w:sz w:val="20"/>
        </w:rPr>
        <w:t>Paragraf 35 GmbHG (Vertretung): https://www.gesetze-im-internet.de/gmbhg/__35.html</w:t>
      </w:r>
    </w:p>
    <w:p>
      <w:pPr>
        <w:pStyle w:val="ListBullet"/>
      </w:pPr>
      <w:r>
        <w:rPr>
          <w:rFonts w:ascii="Times New Roman" w:hAnsi="Times New Roman"/>
          <w:sz w:val="20"/>
        </w:rPr>
        <w:t>Paragraf 37 GmbHG (Beschränkungen im Innenverhältnis): https://www.gesetze-im-internet.de/gmbhg/__37.html</w:t>
      </w:r>
    </w:p>
    <w:p>
      <w:pPr>
        <w:pStyle w:val="ListBullet"/>
      </w:pPr>
      <w:r>
        <w:rPr>
          <w:rFonts w:ascii="Times New Roman" w:hAnsi="Times New Roman"/>
          <w:sz w:val="20"/>
        </w:rPr>
        <w:t>Paragraf 46 GmbHG (Aufgabenkreis der Gesellschafter): https://www.gesetze-im-internet.de/gmbhg/__46.html</w:t>
      </w:r>
    </w:p>
    <w:p>
      <w:pPr>
        <w:pStyle w:val="ListBullet"/>
      </w:pPr>
      <w:r>
        <w:rPr>
          <w:rFonts w:ascii="Times New Roman" w:hAnsi="Times New Roman"/>
          <w:sz w:val="20"/>
        </w:rPr>
        <w:t>Paragraf 53 GmbHG (Form der Satzungsänderung): https://www.gesetze-im-internet.de/gmbhg/__53.html</w:t>
      </w:r>
    </w:p>
    <w:p>
      <w:pPr>
        <w:pStyle w:val="ListBullet"/>
      </w:pPr>
      <w:r>
        <w:rPr>
          <w:rFonts w:ascii="Times New Roman" w:hAnsi="Times New Roman"/>
          <w:sz w:val="20"/>
        </w:rPr>
        <w:t>Holzmüller-Linie BGH II ZR 174/80 vom 25.02.1982 (Aktienrecht, im GmbH-Kontext analog umstritten — vor Verwendung im Memo verifizieren): https://www.bundesgerichtshof.de</w:t>
      </w:r>
    </w:p>
    <w:sectPr w:rsidR="00FC693F" w:rsidRPr="0006063C" w:rsidSect="00034616">
      <w:headerReference w:type="default" r:id="rId9"/>
      <w:footerReference w:type="default" r:id="rId10"/>
      <w:pgSz w:w="11909" w:h="16834"/>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t>Kometenfalter Systems GmbH — internes Arbeitsmaterial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Hagemann &amp; Westarp | Project Comet Moth | vertraulich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