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15 Closing Checkliste Conditions Precedent</w:t>
      </w:r>
    </w:p>
    <w:p/>
    <w:p>
      <w:pPr>
        <w:pStyle w:val="Heading2"/>
      </w:pPr>
      <w:r>
        <w:t>CPs und Deliverables Gesamtübersicht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610"/>
        <w:gridCol w:w="1610"/>
        <w:gridCol w:w="1610"/>
        <w:gridCol w:w="1610"/>
        <w:gridCol w:w="1610"/>
        <w:gridCol w:w="1610"/>
      </w:tblGrid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Nr.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Item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Type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Verantwortlich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Status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Dependencies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Final Cap Table v18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 + CFO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Pool-Shuffle entschieden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Wandlung Tante Ermelind beurkundet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Notariat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Convertible-Wandlungsformel mit Northbridge geklärt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Pool-Erhöhung beschlossen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Gesellschafterversammlung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Pre-/Post-Money entschieden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4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Satzungsneufassung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Reserved-Matters-Mapping abgeschlossen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5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SHA Series A unterzeichnet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beide Seiten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offene Markup-Punkte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Investment Agreement unterzeichnet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beide Seiten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mit SHA verbunden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7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Side Letters Northbridge und Krämer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beide Seiten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inhaltlich nicht final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8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Beirats-Geschäftsordnung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Beiratszusammensetzung offen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Investor Director Bestellung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Gesellschafterversammlung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Identifikation offen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Disclosure Letter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DD läuft noch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11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Officer Certificate Geschäftsführer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Geschäftsführer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Standard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Bank-Bestätigung Disagio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Bank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nach Eintragung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13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Subscription Agreement unterzeichnet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Investoren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Übernahmeerklärungen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Apostille Northbridge Vollmacht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+ LU-Notar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Frist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Vollmachten Krämer Angel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Krämer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Frist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16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Beglaubigte Übersetzung Vollmachten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Übersetzungsbüro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Frist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17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KYC Northbridge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GwG-Vorgaben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18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KYC Krämer Angel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Krämer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GwG-Vorgaben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19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KYC Tante Ermelind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Tante Ermelind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GwG-Vorgaben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Mandantin Kunigunde Pre-Closing-Briefing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sobald SHA final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21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Steuerliche Klärung VSOP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Steuerberatung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mit Closing-Dokumentation abgestimmt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22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IP-Bereinigung Entwicklerverträge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 minor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rot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DD-Red-Flag 05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23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Customer Consent Change of Control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Mandantin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DD-Red-Flag 05; sofern Closing als Change of Control klassifiziert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24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DSGVO Auftragsverarbeiter-Verträge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Mandantin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Standard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25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Verzicht Stahlauge auf Pro-Rata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sofern Stahlauge nicht mitzieht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26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Bestätigung Seed-Präferenz Stahlauge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+ Mandantenkanzlei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gelb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im SHA als Bestätigung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27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Officer Certificate Investoren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Deliverable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Investoren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Standard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28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Liste neuer Gesellschafter nach Paragraf 40 GmbHG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nach Beurkundung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29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GwG-Transparenzregistermeldung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Post-Closing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Geschäftsführer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innerhalb Frist nach Closing</w:t>
            </w:r>
          </w:p>
        </w:tc>
      </w:tr>
      <w:tr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Bekanntmachung Eintragung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Post-Closing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Notar/Register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</w:t>
            </w:r>
          </w:p>
        </w:tc>
        <w:tc>
          <w:tcPr>
            <w:tcW w:type="dxa" w:w="161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nach Eintragung</w:t>
            </w:r>
          </w:p>
        </w:tc>
      </w:tr>
    </w:tbl>
    <w:p/>
    <w:p/>
    <w:p>
      <w:pPr>
        <w:spacing w:after="80"/>
        <w:jc w:val="both"/>
      </w:pPr>
      <w:r>
        <w:rPr>
          <w:rFonts w:ascii="Times New Roman" w:hAnsi="Times New Roman"/>
          <w:sz w:val="21"/>
        </w:rPr>
        <w:t>Legende: grün = Standard, kein Risiko. gelb = in Bearbeitung. rot = offene Verhandlungs- oder Klärungsthemen.</w:t>
      </w:r>
    </w:p>
    <w:p/>
    <w:p>
      <w:pPr>
        <w:pStyle w:val="Heading2"/>
      </w:pPr>
      <w:r>
        <w:t>CPs Detail</w:t>
      </w:r>
    </w:p>
    <w:p/>
    <w:p>
      <w:pPr>
        <w:pStyle w:val="Heading3"/>
      </w:pPr>
      <w:r>
        <w:t>CP 1: Final Cap Table v18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Pre-Money 12 Mio. EUR fully diluted. Pool soll 12 Prozent post-Pool-Shuffle erreichen. Wandlung Tante Ermelind eingerechnet, Variante Valuation Cap.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To do bis Closing: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Variante Pool pre-money vs post-money rechnen, mit Mandantin Kunigunde am Tisch durchgehen.</w:t>
      </w:r>
    </w:p>
    <w:p>
      <w:pPr>
        <w:pStyle w:val="ListBullet"/>
      </w:pPr>
      <w:r>
        <w:rPr>
          <w:rFonts w:ascii="Times New Roman" w:hAnsi="Times New Roman"/>
          <w:sz w:val="20"/>
        </w:rPr>
        <w:t>VSOP-Anteile separat im Cap Table ausweisen, nicht in Gesellschafterliste.</w:t>
      </w:r>
    </w:p>
    <w:p>
      <w:pPr>
        <w:pStyle w:val="ListBullet"/>
      </w:pPr>
      <w:r>
        <w:rPr>
          <w:rFonts w:ascii="Times New Roman" w:hAnsi="Times New Roman"/>
          <w:sz w:val="20"/>
        </w:rPr>
        <w:t>Wandlung Convertible mit Anteilszahl finalisieren.</w:t>
      </w:r>
    </w:p>
    <w:p/>
    <w:p>
      <w:pPr>
        <w:pStyle w:val="Heading3"/>
      </w:pPr>
      <w:r>
        <w:t>CP 2: Wandlung Tante Ermelind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Beurkundete Übernahmeerklärung Tante Ermelind, Wandlung im Rahmen der Kapitalerhöhung, Anteilszahl nach Wandlungsformel.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To do: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Wandlungsschreiben Tante Ermelind formgerecht (beurkundungspflichtig nach Paragraf 55 GmbHG für die Übernahmeerklärung).</w:t>
      </w:r>
    </w:p>
    <w:p>
      <w:pPr>
        <w:pStyle w:val="ListBullet"/>
      </w:pPr>
      <w:r>
        <w:rPr>
          <w:rFonts w:ascii="Times New Roman" w:hAnsi="Times New Roman"/>
          <w:sz w:val="20"/>
        </w:rPr>
        <w:t>MFL-Check abschließen.</w:t>
      </w:r>
    </w:p>
    <w:p>
      <w:pPr>
        <w:pStyle w:val="ListBullet"/>
      </w:pPr>
      <w:r>
        <w:rPr>
          <w:rFonts w:ascii="Times New Roman" w:hAnsi="Times New Roman"/>
          <w:sz w:val="20"/>
        </w:rPr>
        <w:t>Side Letter Tante Ermelind aufsetzen, sofern Informationsrechte und Pro-Rata gewünscht.</w:t>
      </w:r>
    </w:p>
    <w:p/>
    <w:p>
      <w:pPr>
        <w:pStyle w:val="Heading3"/>
      </w:pPr>
      <w:r>
        <w:t>CP 5 und CP 6: SHA und Investment Agreement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Offene Markup-Punkte aus Datei 11 abarbeiten: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Liquidation Preference 1x participating cap 2x vs 1x non-participating</w:t>
      </w:r>
    </w:p>
    <w:p>
      <w:pPr>
        <w:pStyle w:val="ListBullet"/>
      </w:pPr>
      <w:r>
        <w:rPr>
          <w:rFonts w:ascii="Times New Roman" w:hAnsi="Times New Roman"/>
          <w:sz w:val="20"/>
        </w:rPr>
        <w:t>Vesting Credit 18 Monate vs 24 Monate</w:t>
      </w:r>
    </w:p>
    <w:p>
      <w:pPr>
        <w:pStyle w:val="ListBullet"/>
      </w:pPr>
      <w:r>
        <w:rPr>
          <w:rFonts w:ascii="Times New Roman" w:hAnsi="Times New Roman"/>
          <w:sz w:val="20"/>
        </w:rPr>
        <w:t>Drag-Schwelle 50 Prozent + Majority vs 60 Prozent + Majority</w:t>
      </w:r>
    </w:p>
    <w:p>
      <w:pPr>
        <w:pStyle w:val="ListBullet"/>
      </w:pPr>
      <w:r>
        <w:rPr>
          <w:rFonts w:ascii="Times New Roman" w:hAnsi="Times New Roman"/>
          <w:sz w:val="20"/>
        </w:rPr>
        <w:t>Reserved Matters Liste finalisieren</w:t>
      </w:r>
    </w:p>
    <w:p/>
    <w:p>
      <w:pPr>
        <w:pStyle w:val="Heading3"/>
      </w:pPr>
      <w:r>
        <w:t>CP 10: Disclosure Letter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Spielt die Reps and Warranties aus dem SPA-Teil. Hier eintragen: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Wandeldarlehen Tante Ermelind (Section 4.x „Other Material Agreements").</w:t>
      </w:r>
    </w:p>
    <w:p>
      <w:pPr>
        <w:pStyle w:val="ListBullet"/>
      </w:pPr>
      <w:r>
        <w:rPr>
          <w:rFonts w:ascii="Times New Roman" w:hAnsi="Times New Roman"/>
          <w:sz w:val="20"/>
        </w:rPr>
        <w:t>IP-Lage Entwicklerverträge mit „work made for hire"-Formulierung.</w:t>
      </w:r>
    </w:p>
    <w:p>
      <w:pPr>
        <w:pStyle w:val="ListBullet"/>
      </w:pPr>
      <w:r>
        <w:rPr>
          <w:rFonts w:ascii="Times New Roman" w:hAnsi="Times New Roman"/>
          <w:sz w:val="20"/>
        </w:rPr>
        <w:t>Customer Consent Change of Control bei Enterprise-Kunde.</w:t>
      </w:r>
    </w:p>
    <w:p>
      <w:pPr>
        <w:pStyle w:val="ListBullet"/>
      </w:pPr>
      <w:r>
        <w:rPr>
          <w:rFonts w:ascii="Times New Roman" w:hAnsi="Times New Roman"/>
          <w:sz w:val="20"/>
        </w:rPr>
        <w:t>VSOP-Programm Stand.</w:t>
      </w:r>
    </w:p>
    <w:p>
      <w:pPr>
        <w:pStyle w:val="ListBullet"/>
      </w:pPr>
      <w:r>
        <w:rPr>
          <w:rFonts w:ascii="Times New Roman" w:hAnsi="Times New Roman"/>
          <w:sz w:val="20"/>
        </w:rPr>
        <w:t>Beiratsbeschlüsse Slack-Stichpunkte.</w:t>
      </w:r>
    </w:p>
    <w:p/>
    <w:p>
      <w:pPr>
        <w:pStyle w:val="Heading3"/>
      </w:pPr>
      <w:r>
        <w:t>CP 22: IP-Bereinigung Entwicklerverträge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DD-Red-Flag 05. Bis Closing: ergänzende Abtretungserklärung der Entwickler, beidseitig unterzeichnet, schriftliche Bestätigung der Übertragung nach deutschem Recht (Paragraf 31 ff. UrhG).</w:t>
      </w:r>
    </w:p>
    <w:p/>
    <w:p>
      <w:pPr>
        <w:pStyle w:val="Heading2"/>
      </w:pPr>
      <w:r>
        <w:t>CP-Vergleich gegen Term-Sheet-CP-Liste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Hildemar muss vor Closing prüfen: was steht im Term Sheet als CP, was steht in der CP-Liste oben, und wo gibt es Lücken oder Doppelungen.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21"/>
        <w:gridCol w:w="3221"/>
        <w:gridCol w:w="3221"/>
      </w:tblGrid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Term Sheet CP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Interne CP-Liste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Lücke / Anmerkung</w:t>
            </w:r>
          </w:p>
        </w:tc>
      </w:tr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„Satisfactory legal due diligence"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 10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breite Klausel, intern in DD-Findings übersetzt</w:t>
            </w:r>
          </w:p>
        </w:tc>
      </w:tr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„No material adverse change"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nicht in interner Liste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bewusst ausgelassen, prüfen ob für Mandantin tragbar</w:t>
            </w:r>
          </w:p>
        </w:tc>
      </w:tr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„Approval of the Investment Committee"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nicht in interner Liste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Northbridge-internes Approval, außerhalb unserer Kontrolle</w:t>
            </w:r>
          </w:p>
        </w:tc>
      </w:tr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„Customary closing certificates"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CP 11, 27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erfasst</w:t>
            </w:r>
          </w:p>
        </w:tc>
      </w:tr>
      <w:tr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„Bring-down of representations"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nicht in interner Liste</w:t>
            </w:r>
          </w:p>
        </w:tc>
        <w:tc>
          <w:tcPr>
            <w:tcW w:type="dxa" w:w="322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übersehen, ergänzen</w:t>
            </w:r>
          </w:p>
        </w:tc>
      </w:tr>
    </w:tbl>
    <w:p/>
    <w:p/>
    <w:p>
      <w:pPr>
        <w:pStyle w:val="Heading2"/>
      </w:pPr>
      <w:r>
        <w:t>Post-Closing-Themen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Bekanntmachung der Eintragung im elektronischen Bundesanzeiger.</w:t>
      </w:r>
    </w:p>
    <w:p>
      <w:pPr>
        <w:pStyle w:val="ListBullet"/>
      </w:pPr>
      <w:r>
        <w:rPr>
          <w:rFonts w:ascii="Times New Roman" w:hAnsi="Times New Roman"/>
          <w:sz w:val="20"/>
        </w:rPr>
        <w:t>Aktualisierung Transparenzregister nach GwG.</w:t>
      </w:r>
    </w:p>
    <w:p>
      <w:pPr>
        <w:pStyle w:val="ListBullet"/>
      </w:pPr>
      <w:r>
        <w:rPr>
          <w:rFonts w:ascii="Times New Roman" w:hAnsi="Times New Roman"/>
          <w:sz w:val="20"/>
        </w:rPr>
        <w:t>Update KYC bei Banken.</w:t>
      </w:r>
    </w:p>
    <w:p>
      <w:pPr>
        <w:pStyle w:val="ListBullet"/>
      </w:pPr>
      <w:r>
        <w:rPr>
          <w:rFonts w:ascii="Times New Roman" w:hAnsi="Times New Roman"/>
          <w:sz w:val="20"/>
        </w:rPr>
        <w:t>VSOP-Update an Teilnehmer.</w:t>
      </w:r>
    </w:p>
    <w:p>
      <w:pPr>
        <w:pStyle w:val="ListBullet"/>
      </w:pPr>
      <w:r>
        <w:rPr>
          <w:rFonts w:ascii="Times New Roman" w:hAnsi="Times New Roman"/>
          <w:sz w:val="20"/>
        </w:rPr>
        <w:t>Public Communication mit Mandantin abstimmen (PR-Erlaubnis, Logo-Rechte).</w:t>
      </w:r>
    </w:p>
    <w:p>
      <w:pPr>
        <w:pStyle w:val="ListBullet"/>
      </w:pPr>
      <w:r>
        <w:rPr>
          <w:rFonts w:ascii="Times New Roman" w:hAnsi="Times New Roman"/>
          <w:sz w:val="20"/>
        </w:rPr>
        <w:t>Quartalsweise Information-Rights-Stack scharf stellen.</w:t>
      </w:r>
    </w:p>
    <w:p/>
    <w:p>
      <w:pPr>
        <w:pStyle w:val="Heading2"/>
      </w:pPr>
      <w:r>
        <w:t>Senior-Review-Gates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Vor Closing prüft Adelheid: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CP-Liste vollständig und konsistent mit Term Sheet.</w:t>
      </w:r>
    </w:p>
    <w:p>
      <w:pPr>
        <w:pStyle w:val="ListNumber"/>
      </w:pPr>
      <w:r>
        <w:rPr>
          <w:rFonts w:ascii="Times New Roman" w:hAnsi="Times New Roman"/>
          <w:sz w:val="20"/>
        </w:rPr>
        <w:t>Wandlung Tante Ermelind formgerecht und in Cap Table abgebildet.</w:t>
      </w:r>
    </w:p>
    <w:p>
      <w:pPr>
        <w:pStyle w:val="ListNumber"/>
      </w:pPr>
      <w:r>
        <w:rPr>
          <w:rFonts w:ascii="Times New Roman" w:hAnsi="Times New Roman"/>
          <w:sz w:val="20"/>
        </w:rPr>
        <w:t>Drag- und Vesting-Verhandlungsergebnisse mit Mandantin schriftlich abgestimmt.</w:t>
      </w:r>
    </w:p>
    <w:p>
      <w:pPr>
        <w:pStyle w:val="ListNumber"/>
      </w:pPr>
      <w:r>
        <w:rPr>
          <w:rFonts w:ascii="Times New Roman" w:hAnsi="Times New Roman"/>
          <w:sz w:val="20"/>
        </w:rPr>
        <w:t>Notarslot und Übersetzungslogistik gesichert.</w:t>
      </w:r>
    </w:p>
    <w:p>
      <w:pPr>
        <w:pStyle w:val="ListNumber"/>
      </w:pPr>
      <w:r>
        <w:rPr>
          <w:rFonts w:ascii="Times New Roman" w:hAnsi="Times New Roman"/>
          <w:sz w:val="20"/>
        </w:rPr>
        <w:t>Mandantenmemo in deutscher Sprache, ohne Anglizismen-Stapel, freigegeben.</w:t>
      </w:r>
    </w:p>
    <w:p>
      <w:pPr>
        <w:pStyle w:val="ListNumber"/>
      </w:pPr>
      <w:r>
        <w:rPr>
          <w:rFonts w:ascii="Times New Roman" w:hAnsi="Times New Roman"/>
          <w:sz w:val="20"/>
        </w:rPr>
        <w:t>Disclosure Letter vollständig.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