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25 Mailbox und Call-Fragmente</w:t>
      </w:r>
    </w:p>
    <w:p/>
    <w:p>
      <w:pPr>
        <w:pStyle w:val="Heading2"/>
      </w:pPr>
      <w:r>
        <w:t>Donnerstag, 28.05.2026 — laufende Eingangslage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Die nachstehenden Vermerke stammen aus dem Outlook-Export des Deal-Teams, dem Slack-Kanal #project-comet-moth und den handschriftlichen Call-Notizen von Adelheid von Westarp. Sie sind nicht konsolidiert. Mehrere Punkte widersprechen sich in Details, weil Investor Counsel, Mandantin, Notariat und CFO parallel arbeiten.</w:t>
      </w:r>
    </w:p>
    <w:p/>
    <w:p>
      <w:pPr>
        <w:pStyle w:val="Heading2"/>
      </w:pPr>
      <w:r>
        <w:t>A Eingangsmails, die Hildemar beim Briefing berücksichtigen soll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16"/>
        <w:gridCol w:w="2416"/>
        <w:gridCol w:w="2416"/>
        <w:gridCol w:w="2416"/>
      </w:tblGrid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Uhrzeit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Absender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Betreff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Relevanz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07:42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Adelheid von Westarp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Kometenfalter / Series A / bitte einmal schnell sortieren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Ausgangsauftrag, Prioritätenliste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08:21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Adelheid von Westarp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zwei Punkte vergessen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Convertible Tante Ermelind, Beirat/Investor Director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08:34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Olaf Eichholtz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Cap Table v20 — bitte nicht an Northbridge schicken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CFO-Zahlenstand weicht von Datei 02 ab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08:48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Kunigunde Reiter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Bitte keine Delaware-Sprache im Gründer-Call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Mandantenkommunikation muss verständlich sein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09:05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Sebastian Volpert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Beurkundungssprache / Entwurfsstand Notariat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Notar will deutsche Satzungsfassung bis 03.06.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09:22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Vivienne Ostwald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Side Letter / Information Rights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Investor will monatliches Reporting und Budget Consent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09:41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Roswitha Plöger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Agio / steuerliches Einlagekonto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Steuerteam verlangt klare Trennung Agio, Nennbetrag, Liquidationspräferenz</w:t>
            </w:r>
          </w:p>
        </w:tc>
      </w:tr>
    </w:tbl>
    <w:p/>
    <w:p/>
    <w:p>
      <w:pPr>
        <w:pStyle w:val="Heading2"/>
      </w:pPr>
      <w:r>
        <w:t>B Call-Notiz Adelheid, 09:57 Uhr</w:t>
      </w:r>
    </w:p>
    <w:p/>
    <w:p>
      <w:pPr>
        <w:ind w:left="360"/>
      </w:pPr>
      <w:r>
        <w:rPr>
          <w:rFonts w:ascii="Times New Roman" w:hAnsi="Times New Roman"/>
          <w:i/>
          <w:sz w:val="20"/>
        </w:rPr>
        <w:t>Kunigunde versteht "fully diluted" als "wir verlieren schon jetzt Anteile". Bitte erklären: Es ist eine Rechengröße für Verhandlung, nicht automatisch eine aktuelle Registerlage. Nicht beschwichtigen, sondern sauber trennen: Gesellschafterliste heute, Cap Table nach Closing, Waterfall bei Exit.</w:t>
      </w:r>
    </w:p>
    <w:p/>
    <w:p>
      <w:pPr>
        <w:ind w:left="360"/>
      </w:pPr>
      <w:r>
        <w:rPr>
          <w:rFonts w:ascii="Times New Roman" w:hAnsi="Times New Roman"/>
          <w:i/>
          <w:sz w:val="20"/>
        </w:rPr>
        <w:t>Meinhard wird Anti-Dilution mit gesetzlichem Bezugsrecht vermischen. Antwort vorbereiten: Bezugsrecht schützt Altgesellschafter bei Kapitalerhöhung; Anti-Dilution schützt Investor bei Down Round. Beides kann dieselbe wirtschaftliche Sorge berühren, ist aber rechtlich anders gebaut.</w:t>
      </w:r>
    </w:p>
    <w:p/>
    <w:p>
      <w:pPr>
        <w:ind w:left="360"/>
      </w:pPr>
      <w:r>
        <w:rPr>
          <w:rFonts w:ascii="Times New Roman" w:hAnsi="Times New Roman"/>
          <w:i/>
          <w:sz w:val="20"/>
        </w:rPr>
        <w:t>Walburga fragt wahrscheinlich nach Tante Ermelind. Nicht sagen "nur Wandeldarlehen". Besser: "Tante Ermelind hat heute einen schuldrechtlichen Anspruch aus dem Darlehensvertrag; Gesellschafterin wird sie erst durch Kapitalerhöhung, Übernahme und Eintragung der aktualisierten Liste."</w:t>
      </w:r>
    </w:p>
    <w:p/>
    <w:p>
      <w:pPr>
        <w:pStyle w:val="Heading2"/>
      </w:pPr>
      <w:r>
        <w:t>C Quercheck vor Versand an Brackenmuir</w:t>
      </w:r>
    </w:p>
    <w:p/>
    <w:p>
      <w:pPr>
        <w:pStyle w:val="ListNumber"/>
      </w:pPr>
      <w:r>
        <w:rPr>
          <w:rFonts w:ascii="Times New Roman" w:hAnsi="Times New Roman"/>
          <w:sz w:val="20"/>
        </w:rPr>
        <w:t>Keinen Begriff aus dem Term Sheet bloß übersetzen, ohne deutsche Trägerebene zu nennen.</w:t>
      </w:r>
    </w:p>
    <w:p>
      <w:pPr>
        <w:pStyle w:val="ListNumber"/>
      </w:pPr>
      <w:r>
        <w:rPr>
          <w:rFonts w:ascii="Times New Roman" w:hAnsi="Times New Roman"/>
          <w:sz w:val="20"/>
        </w:rPr>
        <w:t>Bei jedem Consent Matter das zuständige Organ notieren: Geschäftsführung, Gesellschafterversammlung oder Beirat.</w:t>
      </w:r>
    </w:p>
    <w:p>
      <w:pPr>
        <w:pStyle w:val="ListNumber"/>
      </w:pPr>
      <w:r>
        <w:rPr>
          <w:rFonts w:ascii="Times New Roman" w:hAnsi="Times New Roman"/>
          <w:sz w:val="20"/>
        </w:rPr>
        <w:t>Cap Table nicht an die Gesellschafterliste angleichen, sondern Abweichung erklären.</w:t>
      </w:r>
    </w:p>
    <w:p>
      <w:pPr>
        <w:pStyle w:val="ListNumber"/>
      </w:pPr>
      <w:r>
        <w:rPr>
          <w:rFonts w:ascii="Times New Roman" w:hAnsi="Times New Roman"/>
          <w:sz w:val="20"/>
        </w:rPr>
        <w:t>Waterfall mit und ohne Tante-Ermelind-Wandlung rechnen.</w:t>
      </w:r>
    </w:p>
    <w:p>
      <w:pPr>
        <w:pStyle w:val="ListNumber"/>
      </w:pPr>
      <w:r>
        <w:rPr>
          <w:rFonts w:ascii="Times New Roman" w:hAnsi="Times New Roman"/>
          <w:sz w:val="20"/>
        </w:rPr>
        <w:t>Agio immer als Teil des Ausgabebetrags behandeln; Liquidation Preference darf nicht nur auf den Nennbetrag laufen.</w:t>
      </w:r>
    </w:p>
    <w:p>
      <w:pPr>
        <w:pStyle w:val="ListNumber"/>
      </w:pPr>
      <w:r>
        <w:rPr>
          <w:rFonts w:ascii="Times New Roman" w:hAnsi="Times New Roman"/>
          <w:sz w:val="20"/>
        </w:rPr>
        <w:t>In der Mandantenfassung keine Abkürzungen ohne ersten Klartext verwenden.</w:t>
      </w:r>
    </w:p>
    <w:p>
      <w:pPr>
        <w:pStyle w:val="ListNumber"/>
      </w:pPr>
      <w:r>
        <w:rPr>
          <w:rFonts w:ascii="Times New Roman" w:hAnsi="Times New Roman"/>
          <w:sz w:val="20"/>
        </w:rPr>
        <w:t>Rückfragen an Brackenmuir als Verhandlungspunkte formulieren, nicht als Unsicherheit.</w:t>
      </w:r>
    </w:p>
    <w:p/>
    <w:p>
      <w:pPr>
        <w:pStyle w:val="Heading2"/>
      </w:pPr>
      <w:r>
        <w:t>D Nebenkriegsschauplätze</w:t>
      </w:r>
    </w:p>
    <w:p/>
    <w:p>
      <w:pPr>
        <w:pStyle w:val="ListBullet"/>
      </w:pPr>
      <w:r>
        <w:rPr>
          <w:rFonts w:ascii="Times New Roman" w:hAnsi="Times New Roman"/>
          <w:sz w:val="20"/>
        </w:rPr>
        <w:t>Brackenmuir will Friday Call auf 10:00 vorziehen. Westarp kann erst ab 10:30, weil Notariat Schwartz wegen Beurkundungssprache parallel telefoniert.</w:t>
      </w:r>
    </w:p>
    <w:p>
      <w:pPr>
        <w:pStyle w:val="ListBullet"/>
      </w:pPr>
      <w:r>
        <w:rPr>
          <w:rFonts w:ascii="Times New Roman" w:hAnsi="Times New Roman"/>
          <w:sz w:val="20"/>
        </w:rPr>
        <w:t>Olaf hat in cap_table_v20_oe_2026-05-28.xlsx eine zusätzliche Pool-Zeile eingefügt, aber die Summenformel nicht erweitert.</w:t>
      </w:r>
    </w:p>
    <w:p>
      <w:pPr>
        <w:pStyle w:val="ListBullet"/>
      </w:pPr>
      <w:r>
        <w:rPr>
          <w:rFonts w:ascii="Times New Roman" w:hAnsi="Times New Roman"/>
          <w:sz w:val="20"/>
        </w:rPr>
        <w:t>Northbridge spricht von "Founder Reps", Kunigunde liest "private persönliche Haftung". Separater Cap-Vorschlag nötig.</w:t>
      </w:r>
    </w:p>
    <w:p>
      <w:pPr>
        <w:pStyle w:val="ListBullet"/>
      </w:pPr>
      <w:r>
        <w:rPr>
          <w:rFonts w:ascii="Times New Roman" w:hAnsi="Times New Roman"/>
          <w:sz w:val="20"/>
        </w:rPr>
        <w:t>Stahlauge Ventures hat einen alten Side Letter mit Information Rights; der darf im neuen Reporting-Stack nicht untergehen.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t>Kometenfalter Systems GmbH — internes Arbeitsmaterial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right"/>
    </w:pPr>
    <w:r>
      <w:t>Hagemann &amp; Westarp | Project Comet Moth | vertraulich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