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Slack Export — #project-comet-moth — Closing Room Status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2026-05-28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08:31 — Olaf Eichholtz: Ich habe Cap Table v20 hochgeladen. Bitte noch nicht an Northbridge. Die Wandlung Tante Ermelind ist drin, aber die Pool-Erweiterung zieht in Spalte M noch nicht sauber durch.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08:33 — Hildemar K.: Ich sehe v20. In Datei 02 steht noch v19. Soll ich v20 im Briefing verwenden oder erst nur als Abweichung notieren?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08:34 — Roswitha Plöger: Bitte v20 nur als CFO-Arbeitsstand. Für externe Zahlen brauchen wir erst Formelprüfung. Auffällig: fully diluted Prozent sinkt bei Walburga stärker als bei Kunigunde, obwohl gleiche Anteilskategorie. Das riecht nach Pool-Formel.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08:36 — Adelheid von Westarp: Genau. Hildemar: Partnerbriefing mit drei Spalten: v19 Datenraum, v20 CFO, offener Prüfpunkt. Nicht glätten.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08:41 — Olaf Eichholtz: Die Formel in M44 war noch auf M41 begrenzt. Habe v20b hochgeladen. Sorry.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08:42 — Hildemar K.: Danke. Ich rechne v20b gegen v19 und markiere die Delta-Zeilen.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08:46 — Roswitha Plöger: Bitte auch schauen, ob Agio im Modell separat vom Nennbetrag ausgewiesen ist. Für § 27 KStG brauchen wir später eine saubere Kapitalrücklagen-Logik.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08:49 — Adelheid von Westarp: Und niemand schreibt "Kaufpreis pro Anteil" in die Mandantenfassung. Es ist bei der Kapitalerhöhung der Ausgabebetrag.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08:51 — Hildemar K.: Verstanden: Ausgabebetrag = Nennbetrag plus Agio. Liquidation Preference auf Ausgabebetrag prüfen.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08:54 — Olaf Eichholtz: Ich ändere die Spaltenbezeichnung in der Excel auf "Issue Price / Ausgabebetrag". Neue Datei kommt gleich.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