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Times New Roman" w:cs="Times New Roman" w:eastAsia="Times New Roman" w:hAnsi="Times New Roman"/>
          <w:sz w:val="24"/>
          <w:szCs w:val="24"/>
        </w:rPr>
        <w:t xml:space="preserve"/>
      </w:r>
    </w:p>
    <w:p>
      <w:r>
        <w:rPr>
          <w:rFonts w:ascii="Times New Roman" w:cs="Times New Roman" w:eastAsia="Times New Roman" w:hAnsi="Times New Roman"/>
          <w:sz w:val="24"/>
          <w:szCs w:val="24"/>
        </w:rPr>
        <w:t xml:space="preserve"/>
      </w:r>
    </w:p>
    <w:p>
      <w:pPr>
        <w:spacing w:after="200"/>
        <w:jc w:val="center"/>
      </w:pPr>
      <w:r>
        <w:rPr>
          <w:rFonts w:ascii="Times New Roman" w:cs="Times New Roman" w:eastAsia="Times New Roman" w:hAnsi="Times New Roman"/>
          <w:b/>
          <w:bCs/>
          <w:sz w:val="28"/>
          <w:szCs w:val="28"/>
        </w:rPr>
        <w:t xml:space="preserve">Universitaet Leipzig</w:t>
      </w:r>
    </w:p>
    <w:p>
      <w:pPr>
        <w:spacing w:after="120"/>
        <w:jc w:val="center"/>
      </w:pPr>
      <w:r>
        <w:rPr>
          <w:rFonts w:ascii="Times New Roman" w:cs="Times New Roman" w:eastAsia="Times New Roman" w:hAnsi="Times New Roman"/>
          <w:sz w:val="26"/>
          <w:szCs w:val="26"/>
        </w:rPr>
        <w:t xml:space="preserve">Juristenfakultaet</w:t>
      </w:r>
    </w:p>
    <w:p>
      <w:pPr>
        <w:spacing w:after="480"/>
        <w:jc w:val="center"/>
      </w:pPr>
      <w:r>
        <w:rPr>
          <w:rFonts w:ascii="Times New Roman" w:cs="Times New Roman" w:eastAsia="Times New Roman" w:hAnsi="Times New Roman"/>
          <w:sz w:val="24"/>
          <w:szCs w:val="24"/>
        </w:rPr>
        <w:t xml:space="preserve">Lehrstuhl Prof. Dr. Werner Wandersleben</w:t>
      </w:r>
    </w:p>
    <w:p>
      <w:pPr>
        <w:spacing w:after="200"/>
        <w:jc w:val="center"/>
      </w:pPr>
      <w:r>
        <w:rPr>
          <w:rFonts w:ascii="Times New Roman" w:cs="Times New Roman" w:eastAsia="Times New Roman" w:hAnsi="Times New Roman"/>
          <w:b/>
          <w:bCs/>
          <w:sz w:val="36"/>
          <w:szCs w:val="36"/>
        </w:rPr>
        <w:t xml:space="preserve">HAUSARBEIT</w:t>
      </w:r>
    </w:p>
    <w:p>
      <w:pPr>
        <w:spacing w:after="480"/>
        <w:jc w:val="center"/>
      </w:pPr>
      <w:r>
        <w:rPr>
          <w:rFonts w:ascii="Times New Roman" w:cs="Times New Roman" w:eastAsia="Times New Roman" w:hAnsi="Times New Roman"/>
          <w:b/>
          <w:bCs/>
          <w:sz w:val="24"/>
          <w:szCs w:val="24"/>
        </w:rPr>
        <w:t xml:space="preserve">BGB Uebung fuer Fortgeschrittene SS 2026</w:t>
      </w:r>
    </w:p>
    <w:p>
      <w:r>
        <w:rPr>
          <w:rFonts w:ascii="Times New Roman" w:cs="Times New Roman" w:eastAsia="Times New Roman" w:hAnsi="Times New Roman"/>
          <w:sz w:val="24"/>
          <w:szCs w:val="24"/>
        </w:rPr>
        <w:t xml:space="preserve"/>
      </w:r>
    </w:p>
    <w:p>
      <w:r>
        <w:rPr>
          <w:rFonts w:ascii="Times New Roman" w:cs="Times New Roman" w:eastAsia="Times New Roman" w:hAnsi="Times New Roman"/>
          <w:sz w:val="24"/>
          <w:szCs w:val="24"/>
        </w:rPr>
        <w:t xml:space="preserve"/>
      </w:r>
    </w:p>
    <w:p>
      <w:pPr>
        <w:spacing w:after="120"/>
        <w:jc w:val="center"/>
      </w:pPr>
      <w:r>
        <w:rPr>
          <w:rFonts w:ascii="Times New Roman" w:cs="Times New Roman" w:eastAsia="Times New Roman" w:hAnsi="Times New Roman"/>
          <w:b/>
          <w:bCs/>
          <w:sz w:val="26"/>
          <w:szCs w:val="26"/>
        </w:rPr>
        <w:t xml:space="preserve">Kaufpreisanspruch, Aufrechnung, Abtretung und prozessuale Aufrechnung</w:t>
      </w:r>
    </w:p>
    <w:p>
      <w:r>
        <w:rPr>
          <w:rFonts w:ascii="Times New Roman" w:cs="Times New Roman" w:eastAsia="Times New Roman" w:hAnsi="Times New Roman"/>
          <w:sz w:val="24"/>
          <w:szCs w:val="24"/>
        </w:rPr>
        <w:t xml:space="preserve"/>
      </w:r>
    </w:p>
    <w:p>
      <w:r>
        <w:rPr>
          <w:rFonts w:ascii="Times New Roman" w:cs="Times New Roman" w:eastAsia="Times New Roman" w:hAnsi="Times New Roman"/>
          <w:sz w:val="24"/>
          <w:szCs w:val="24"/>
        </w:rPr>
        <w:t xml:space="preserve"/>
      </w:r>
    </w:p>
    <w:p>
      <w:r>
        <w:rPr>
          <w:rFonts w:ascii="Times New Roman" w:cs="Times New Roman" w:eastAsia="Times New Roman" w:hAnsi="Times New Roman"/>
          <w:sz w:val="24"/>
          <w:szCs w:val="24"/>
        </w:rPr>
        <w:t xml:space="preserve"/>
      </w:r>
    </w:p>
    <w:p>
      <w:pPr>
        <w:spacing w:after="80"/>
        <w:jc w:val="center"/>
      </w:pPr>
      <w:r>
        <w:rPr>
          <w:rFonts w:ascii="Times New Roman" w:cs="Times New Roman" w:eastAsia="Times New Roman" w:hAnsi="Times New Roman"/>
          <w:sz w:val="24"/>
          <w:szCs w:val="24"/>
        </w:rPr>
        <w:t xml:space="preserve">Bearbeiter: Konrad Pohlmann</w:t>
      </w:r>
    </w:p>
    <w:p>
      <w:pPr>
        <w:spacing w:after="80"/>
        <w:jc w:val="center"/>
      </w:pPr>
      <w:r>
        <w:rPr>
          <w:rFonts w:ascii="Times New Roman" w:cs="Times New Roman" w:eastAsia="Times New Roman" w:hAnsi="Times New Roman"/>
          <w:sz w:val="24"/>
          <w:szCs w:val="24"/>
        </w:rPr>
        <w:t xml:space="preserve">Matrikelnummer: 5811274</w:t>
      </w:r>
    </w:p>
    <w:p>
      <w:pPr>
        <w:spacing w:after="80"/>
        <w:jc w:val="center"/>
      </w:pPr>
      <w:r>
        <w:rPr>
          <w:rFonts w:ascii="Times New Roman" w:cs="Times New Roman" w:eastAsia="Times New Roman" w:hAnsi="Times New Roman"/>
          <w:sz w:val="24"/>
          <w:szCs w:val="24"/>
        </w:rPr>
        <w:t xml:space="preserve">7. Semester Rechtswissenschaften</w:t>
      </w:r>
    </w:p>
    <w:p>
      <w:pPr>
        <w:spacing w:after="200"/>
        <w:jc w:val="center"/>
      </w:pPr>
      <w:r>
        <w:rPr>
          <w:rFonts w:ascii="Times New Roman" w:cs="Times New Roman" w:eastAsia="Times New Roman" w:hAnsi="Times New Roman"/>
          <w:sz w:val="24"/>
          <w:szCs w:val="24"/>
        </w:rPr>
        <w:t xml:space="preserve">Abgabe: 05. Juni 2026</w:t>
      </w:r>
    </w:p>
    <w:p>
      <w:r>
        <w:rPr>
          <w:rFonts w:ascii="Times New Roman" w:cs="Times New Roman" w:eastAsia="Times New Roman" w:hAnsi="Times New Roman"/>
          <w:sz w:val="24"/>
          <w:szCs w:val="24"/>
        </w:rPr>
        <w:t xml:space="preserve"/>
      </w:r>
    </w:p>
    <w:p>
      <w:r>
        <w:rPr>
          <w:rFonts w:ascii="Times New Roman" w:cs="Times New Roman" w:eastAsia="Times New Roman" w:hAnsi="Times New Roman"/>
          <w:sz w:val="24"/>
          <w:szCs w:val="24"/>
        </w:rPr>
        <w:t xml:space="preserve"/>
      </w:r>
    </w:p>
    <w:p>
      <w:pPr>
        <w:spacing w:after="160" w:before="360"/>
      </w:pPr>
      <w:r>
        <w:rPr>
          <w:rFonts w:ascii="Times New Roman" w:cs="Times New Roman" w:eastAsia="Times New Roman" w:hAnsi="Times New Roman"/>
          <w:b/>
          <w:bCs/>
          <w:sz w:val="28"/>
          <w:szCs w:val="28"/>
        </w:rPr>
        <w:t xml:space="preserve">Gliederung</w:t>
      </w:r>
    </w:p>
    <w:p>
      <w:pPr>
        <w:spacing w:after="120" w:line="360"/>
        <w:ind/>
        <w:jc w:val="both"/>
      </w:pPr>
      <w:r>
        <w:rPr>
          <w:rFonts w:ascii="Times New Roman" w:cs="Times New Roman" w:eastAsia="Times New Roman" w:hAnsi="Times New Roman"/>
          <w:b/>
          <w:bCs/>
          <w:i w:val="false"/>
          <w:iCs w:val="false"/>
          <w:sz w:val="24"/>
          <w:szCs w:val="24"/>
        </w:rPr>
        <w:t xml:space="preserve">A. Ansprueche des A gegen B</w:t>
      </w:r>
    </w:p>
    <w:p>
      <w:pPr>
        <w:spacing w:after="120" w:line="360"/>
        <w:ind/>
        <w:jc w:val="both"/>
      </w:pPr>
      <w:r>
        <w:rPr>
          <w:rFonts w:ascii="Times New Roman" w:cs="Times New Roman" w:eastAsia="Times New Roman" w:hAnsi="Times New Roman"/>
          <w:b w:val="false"/>
          <w:bCs w:val="false"/>
          <w:i w:val="false"/>
          <w:iCs w:val="false"/>
          <w:sz w:val="24"/>
          <w:szCs w:val="24"/>
        </w:rPr>
        <w:t xml:space="preserve">   I.  Kaufpreisanspruch (ss 433 Abs. 2 BGB)</w:t>
      </w:r>
    </w:p>
    <w:p>
      <w:pPr>
        <w:spacing w:after="120" w:line="360"/>
        <w:ind/>
        <w:jc w:val="both"/>
      </w:pPr>
      <w:r>
        <w:rPr>
          <w:rFonts w:ascii="Times New Roman" w:cs="Times New Roman" w:eastAsia="Times New Roman" w:hAnsi="Times New Roman"/>
          <w:b w:val="false"/>
          <w:bCs w:val="false"/>
          <w:i w:val="false"/>
          <w:iCs w:val="false"/>
          <w:sz w:val="24"/>
          <w:szCs w:val="24"/>
        </w:rPr>
        <w:t xml:space="preserve">   II. Verzugsschadensersatz (ss 280 Abs. 1, 2, 286 BGB)</w:t>
      </w:r>
    </w:p>
    <w:p>
      <w:pPr>
        <w:spacing w:after="120" w:line="360"/>
        <w:ind/>
        <w:jc w:val="both"/>
      </w:pPr>
      <w:r>
        <w:rPr>
          <w:rFonts w:ascii="Times New Roman" w:cs="Times New Roman" w:eastAsia="Times New Roman" w:hAnsi="Times New Roman"/>
          <w:b w:val="false"/>
          <w:bCs w:val="false"/>
          <w:i w:val="false"/>
          <w:iCs w:val="false"/>
          <w:sz w:val="24"/>
          <w:szCs w:val="24"/>
        </w:rPr>
        <w:t xml:space="preserve">B. Ansprueche/Gegenrechte des B gegen C</w:t>
      </w:r>
    </w:p>
    <w:p>
      <w:pPr>
        <w:spacing w:after="120" w:line="360"/>
        <w:ind/>
        <w:jc w:val="both"/>
      </w:pPr>
      <w:r>
        <w:rPr>
          <w:rFonts w:ascii="Times New Roman" w:cs="Times New Roman" w:eastAsia="Times New Roman" w:hAnsi="Times New Roman"/>
          <w:b w:val="false"/>
          <w:bCs w:val="false"/>
          <w:i w:val="false"/>
          <w:iCs w:val="false"/>
          <w:sz w:val="24"/>
          <w:szCs w:val="24"/>
        </w:rPr>
        <w:t xml:space="preserve">   I.  Wirksamkeit der Abtretung (ss 398 BGB)</w:t>
      </w:r>
    </w:p>
    <w:p>
      <w:pPr>
        <w:spacing w:after="120" w:line="360"/>
        <w:ind/>
        <w:jc w:val="both"/>
      </w:pPr>
      <w:r>
        <w:rPr>
          <w:rFonts w:ascii="Times New Roman" w:cs="Times New Roman" w:eastAsia="Times New Roman" w:hAnsi="Times New Roman"/>
          <w:b w:val="false"/>
          <w:bCs w:val="false"/>
          <w:i w:val="false"/>
          <w:iCs w:val="false"/>
          <w:sz w:val="24"/>
          <w:szCs w:val="24"/>
        </w:rPr>
        <w:t xml:space="preserve">   II. Einwendungen des B (ss 404 BGB)</w:t>
      </w:r>
    </w:p>
    <w:p>
      <w:pPr>
        <w:spacing w:after="120" w:line="360"/>
        <w:ind/>
        <w:jc w:val="both"/>
      </w:pPr>
      <w:r>
        <w:rPr>
          <w:rFonts w:ascii="Times New Roman" w:cs="Times New Roman" w:eastAsia="Times New Roman" w:hAnsi="Times New Roman"/>
          <w:b w:val="false"/>
          <w:bCs w:val="false"/>
          <w:i w:val="false"/>
          <w:iCs w:val="false"/>
          <w:sz w:val="24"/>
          <w:szCs w:val="24"/>
        </w:rPr>
        <w:t xml:space="preserve">   III. Aufrechnung gegenueber C (ss 406 BGB)</w:t>
      </w:r>
    </w:p>
    <w:p>
      <w:pPr>
        <w:spacing w:after="120" w:line="360"/>
        <w:ind/>
        <w:jc w:val="both"/>
      </w:pPr>
      <w:r>
        <w:rPr>
          <w:rFonts w:ascii="Times New Roman" w:cs="Times New Roman" w:eastAsia="Times New Roman" w:hAnsi="Times New Roman"/>
          <w:b w:val="false"/>
          <w:bCs w:val="false"/>
          <w:i w:val="false"/>
          <w:iCs w:val="false"/>
          <w:sz w:val="24"/>
          <w:szCs w:val="24"/>
        </w:rPr>
        <w:t xml:space="preserve">C. Prozessuale Aufrechnung (ss 322 Abs. 2 ZPO)</w:t>
      </w:r>
    </w:p>
    <w:p>
      <w:pPr>
        <w:spacing w:after="120" w:line="360"/>
        <w:ind/>
        <w:jc w:val="both"/>
      </w:pPr>
      <w:r>
        <w:rPr>
          <w:rFonts w:ascii="Times New Roman" w:cs="Times New Roman" w:eastAsia="Times New Roman" w:hAnsi="Times New Roman"/>
          <w:b w:val="false"/>
          <w:bCs w:val="false"/>
          <w:i w:val="false"/>
          <w:iCs w:val="false"/>
          <w:sz w:val="24"/>
          <w:szCs w:val="24"/>
        </w:rPr>
        <w:t xml:space="preserve">D. Gesamtergebnis</w:t>
      </w:r>
    </w:p>
    <w:p>
      <w:pPr>
        <w:spacing w:after="120" w:line="360"/>
        <w:ind/>
        <w:jc w:val="both"/>
      </w:pPr>
      <w:r>
        <w:rPr>
          <w:rFonts w:ascii="Times New Roman" w:cs="Times New Roman" w:eastAsia="Times New Roman" w:hAnsi="Times New Roman"/>
          <w:b w:val="false"/>
          <w:bCs w:val="false"/>
          <w:i w:val="false"/>
          <w:iCs w:val="false"/>
          <w:sz w:val="24"/>
          <w:szCs w:val="24"/>
        </w:rPr>
        <w:t xml:space="preserve">Literaturverzeichnis</w:t>
      </w:r>
    </w:p>
    <w:p>
      <w:r>
        <w:rPr>
          <w:rFonts w:ascii="Times New Roman" w:cs="Times New Roman" w:eastAsia="Times New Roman" w:hAnsi="Times New Roman"/>
          <w:sz w:val="24"/>
          <w:szCs w:val="24"/>
        </w:rPr>
        <w:t xml:space="preserve"/>
      </w:r>
    </w:p>
    <w:p>
      <w:pPr>
        <w:spacing w:after="160" w:before="360"/>
      </w:pPr>
      <w:r>
        <w:rPr>
          <w:rFonts w:ascii="Times New Roman" w:cs="Times New Roman" w:eastAsia="Times New Roman" w:hAnsi="Times New Roman"/>
          <w:b/>
          <w:bCs/>
          <w:sz w:val="28"/>
          <w:szCs w:val="28"/>
        </w:rPr>
        <w:t xml:space="preserve">A. Ansprueche des A gegen B</w:t>
      </w:r>
    </w:p>
    <w:p>
      <w:pPr>
        <w:spacing w:after="120" w:before="280"/>
      </w:pPr>
      <w:r>
        <w:rPr>
          <w:rFonts w:ascii="Times New Roman" w:cs="Times New Roman" w:eastAsia="Times New Roman" w:hAnsi="Times New Roman"/>
          <w:b/>
          <w:bCs/>
          <w:sz w:val="26"/>
          <w:szCs w:val="26"/>
        </w:rPr>
        <w:t xml:space="preserve">I. Kaufpreisanspruch (ss 433 Abs. 2 BGB)</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Fraglich ist, ob A gegen B einen Anspruch auf Zahlung des Kaufpreises aus ss 433 Abs. 2 BGB hat.</w:t>
      </w:r>
    </w:p>
    <w:p>
      <w:pPr>
        <w:spacing w:after="100" w:before="200"/>
      </w:pPr>
      <w:r>
        <w:rPr>
          <w:rFonts w:ascii="Times New Roman" w:cs="Times New Roman" w:eastAsia="Times New Roman" w:hAnsi="Times New Roman"/>
          <w:b/>
          <w:bCs/>
          <w:sz w:val="24"/>
          <w:szCs w:val="24"/>
        </w:rPr>
        <w:t xml:space="preserve">1. Entstehung des Anspruchs</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ss 433 BGB setzt das Bestehen eines wirksamen Kaufvertrages voraus. Ein Kaufvertrag kommt durch zwei uebereinstimmende Willenserklarungen - Angebot (ss 145 BGB) und Annahme (ss 147 BGB) - zustande, die sich auf Kaufsache und Kaufpreis beziehen.</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Im vorliegenden Fall haben A und B am 10.03.2026 einen schriftlichen Kaufvertrag ueber die Vermeer-Replik zum Preis von 4.800 Euro geschlossen. Angebot und Annahme liegen vor; die wesentlichen Vertragsbestandteile (essentialia negotii) sind vereinbart. Der Kaufvertrag ist wirksam zustande gekommen.</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Da A gewerblicher Kunsthaendler (ss 14 BGB) und B Privatmann (ss 13 BGB) ist und eine bewegliche Sache den Gegenstand bildet, handelt es sich um einen Verbrauchsgueterkauf im Sinne des ss 474 Abs. 1 BGB.</w:t>
      </w:r>
    </w:p>
    <w:p>
      <w:pPr>
        <w:spacing w:after="120" w:line="360"/>
        <w:ind w:firstLine="720"/>
        <w:jc w:val="both"/>
      </w:pPr>
      <w:r>
        <w:rPr>
          <w:rFonts w:ascii="Times New Roman" w:cs="Times New Roman" w:eastAsia="Times New Roman" w:hAnsi="Times New Roman"/>
          <w:b/>
          <w:bCs/>
          <w:i w:val="false"/>
          <w:iCs w:val="false"/>
          <w:sz w:val="24"/>
          <w:szCs w:val="24"/>
        </w:rPr>
        <w:t xml:space="preserve">Zwischenergebnis: Der Kaufpreisanspruch des A gegen B aus ss 433 Abs. 2 BGB ist entstanden.</w:t>
      </w:r>
    </w:p>
    <w:p>
      <w:pPr>
        <w:spacing w:after="100" w:before="200"/>
      </w:pPr>
      <w:r>
        <w:rPr>
          <w:rFonts w:ascii="Times New Roman" w:cs="Times New Roman" w:eastAsia="Times New Roman" w:hAnsi="Times New Roman"/>
          <w:b/>
          <w:bCs/>
          <w:sz w:val="24"/>
          <w:szCs w:val="24"/>
        </w:rPr>
        <w:t xml:space="preserve">2. Erloeschen durch Aufrechnung (ss 387 bis 389 BGB)</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B hat am 10.04.2026 schriftlich die Aufrechnung mit einer Darlehensgegenforderung von 2.200 Euro erklaert. Zu pruefen ist, ob die Voraussetzungen der Aufrechnung nach ss 387 BGB vorliegen.</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a) Aufrechnungslage: ss 387 BGB setzt voraus, dass zwei Personen einander Leistungen schulden (Gegenseitigkeit), die ihrem Gegenstand nach gleichartig sind (Gleichartigkeit), und dass die Gegenforderung des Aufrechnenden faellig sowie die Hauptforderung erfuellbar ist.</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Die Gegenseitigkeit ist gegeben: A schuldet dem B 2.200 Euro aus dem Darlehensvertrag; B schuldet dem A 4.800 Euro aus dem Kaufvertrag. Die Gleichartigkeit liegt vor, da es sich bei beiden um Geldforderungen handelt. Die Darlehensgegenforderung ist nach Sachverhalt unstreitig faellig. Die Kaufpreisforderung war ab 01.04.2026 erfuellbar. Die Aufrechnungslage bestand demnach spatestens ab 01.04.2026.</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b) Aufrechnungserklaerung: Die schriftliche Erklaerung des B vom 10.04.2026 ist eine einseitige, empfangsbeduerftige Willenserklaerung im Sinne des ss 388 BGB. Sie ist unbedingt und unbefristet.</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c) Kein Aufrechnungsverbot: Ein Aufrechnungsverbot nach ss 393, 394 BGB besteht nicht.</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d) Rechtsfolge ss 389 BGB: Nach der herrschenden Meinung (BGH NJW 1976, 1258; Palandt/Grueneberg, ss 389 Rn. 3; MueKo/Schluetor, ss 389 Rn. 5) bewirkt ss 389 BGB eine vollstaendige gesetzliche Fiktion (Fiktionstheorie): Beide Forderungen gelten rueckwirkend als erloschen. Demgegenueber pladiert Staudinger/Gursky (ss 389 Rn. 15 ff.) fuer eine teleologische Reduktion bei Drittinteressen. Der h. M. ist zu folgen: Der Wortlaut ist eindeutig; Drittinteressen werden durch ss 406 BGB hinreichend geschuetzt. Die Forderungen erloeschen rueckwirkend auf den 01.04.2026.</w:t>
      </w:r>
    </w:p>
    <w:p>
      <w:pPr>
        <w:spacing w:after="120" w:line="360"/>
        <w:ind w:firstLine="720"/>
        <w:jc w:val="both"/>
      </w:pPr>
      <w:r>
        <w:rPr>
          <w:rFonts w:ascii="Times New Roman" w:cs="Times New Roman" w:eastAsia="Times New Roman" w:hAnsi="Times New Roman"/>
          <w:b/>
          <w:bCs/>
          <w:i w:val="false"/>
          <w:iCs w:val="false"/>
          <w:sz w:val="24"/>
          <w:szCs w:val="24"/>
        </w:rPr>
        <w:t xml:space="preserve">Zwischenergebnis: Die Aufrechnung ist wirksam. Der Kaufpreisanspruch ist in Hoehe von 2.200 Euro erloschen. Restanspruch: 2.600 Euro.</w:t>
      </w:r>
    </w:p>
    <w:p>
      <w:r>
        <w:rPr>
          <w:rFonts w:ascii="Times New Roman" w:cs="Times New Roman" w:eastAsia="Times New Roman" w:hAnsi="Times New Roman"/>
          <w:sz w:val="24"/>
          <w:szCs w:val="24"/>
        </w:rPr>
        <w:t xml:space="preserve"/>
      </w:r>
    </w:p>
    <w:p>
      <w:pPr>
        <w:spacing w:after="120" w:before="280"/>
      </w:pPr>
      <w:r>
        <w:rPr>
          <w:rFonts w:ascii="Times New Roman" w:cs="Times New Roman" w:eastAsia="Times New Roman" w:hAnsi="Times New Roman"/>
          <w:b/>
          <w:bCs/>
          <w:sz w:val="26"/>
          <w:szCs w:val="26"/>
        </w:rPr>
        <w:t xml:space="preserve">II. Verzugsschadensersatz (ss 280 Abs. 1, 2, 286 BGB)</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B ist ab 02.04.2026 in Verzug geraten, da der Leistungszeitpunkt (01.04.2026) kalendarisch bestimmt war und ss 286 Abs. 2 Nr. 1 BGB eingreift. Das Vertretenmussen des B ist fuer den Restbetrag (2.600 Euro) anzunehmen. Verzugszinsen nach ss 288 Abs. 1 BGB betragen 5 Prozentpunkte uber dem Basiszinssatz auf 2.600 Euro.</w:t>
      </w:r>
    </w:p>
    <w:p>
      <w:r>
        <w:rPr>
          <w:rFonts w:ascii="Times New Roman" w:cs="Times New Roman" w:eastAsia="Times New Roman" w:hAnsi="Times New Roman"/>
          <w:sz w:val="24"/>
          <w:szCs w:val="24"/>
        </w:rPr>
        <w:t xml:space="preserve"/>
      </w:r>
    </w:p>
    <w:p>
      <w:pPr>
        <w:spacing w:after="160" w:before="360"/>
      </w:pPr>
      <w:r>
        <w:rPr>
          <w:rFonts w:ascii="Times New Roman" w:cs="Times New Roman" w:eastAsia="Times New Roman" w:hAnsi="Times New Roman"/>
          <w:b/>
          <w:bCs/>
          <w:sz w:val="28"/>
          <w:szCs w:val="28"/>
        </w:rPr>
        <w:t xml:space="preserve">B. Ansprueche/Gegenrechte des B gegen C</w:t>
      </w:r>
    </w:p>
    <w:p>
      <w:pPr>
        <w:spacing w:after="120" w:before="280"/>
      </w:pPr>
      <w:r>
        <w:rPr>
          <w:rFonts w:ascii="Times New Roman" w:cs="Times New Roman" w:eastAsia="Times New Roman" w:hAnsi="Times New Roman"/>
          <w:b/>
          <w:bCs/>
          <w:sz w:val="26"/>
          <w:szCs w:val="26"/>
        </w:rPr>
        <w:t xml:space="preserve">I. Wirksamkeit der Abtretung A an C (ss 398 BGB)</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A hat am 15.04.2026 seine Kaufpreisforderung gegen B an C abgetreten. Die Abtretung nach ss 398 BGB setzt einen Abtretungsvertrag sowie eine hinreichend bestimmte abzutretende Forderung voraus. Beides liegt vor. Ein Abtretungsausschluss (ss 399, 400 BGB) ist nicht ersichtlich. Die Abtretung ist wirksam; C ist neue Glaeubigerin.</w:t>
      </w:r>
    </w:p>
    <w:p>
      <w:pPr>
        <w:spacing w:after="120" w:before="280"/>
      </w:pPr>
      <w:r>
        <w:rPr>
          <w:rFonts w:ascii="Times New Roman" w:cs="Times New Roman" w:eastAsia="Times New Roman" w:hAnsi="Times New Roman"/>
          <w:b/>
          <w:bCs/>
          <w:sz w:val="26"/>
          <w:szCs w:val="26"/>
        </w:rPr>
        <w:t xml:space="preserve">II. Einwendungserhalt (ss 404 BGB)</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Gemaess ss 404 BGB kann der Schuldner dem neuen Glaeubiger alle Einwendungen entgegenhalten, die er im Zeitpunkt der Abtretung dem frueheren Glaeubiger gegenueber hatte.</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B kann C gegenueber geltend machen: (1) Die durch Aufrechnung bereits erloschene Teilforderung (2.200 Euro) - C kann nur 2.600 Euro verlangen. (2) Das Leistungsverweigerungsrecht aus ss 437 Nr. 1, 439, 273 BGB wegen des nicht behobenen Sachmangels (Farbabplatzung).</w:t>
      </w:r>
    </w:p>
    <w:p>
      <w:pPr>
        <w:spacing w:after="120" w:before="280"/>
      </w:pPr>
      <w:r>
        <w:rPr>
          <w:rFonts w:ascii="Times New Roman" w:cs="Times New Roman" w:eastAsia="Times New Roman" w:hAnsi="Times New Roman"/>
          <w:b/>
          <w:bCs/>
          <w:sz w:val="26"/>
          <w:szCs w:val="26"/>
        </w:rPr>
        <w:t xml:space="preserve">III. Aufrechnung gegenueber C (ss 406 BGB)</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Da die Aufrechnung bereits am 10.04.2026 - vor der Abtretungsanzeige am 15.04.2026 - erklaert wurde und die Forderung damit bereits erloschen ist, findet ss 404 BGB Anwendung. ss 406 BGB ist hilfsweise einschlaegig fuer prozessuale Konstellationen.</w:t>
      </w:r>
    </w:p>
    <w:p>
      <w:r>
        <w:rPr>
          <w:rFonts w:ascii="Times New Roman" w:cs="Times New Roman" w:eastAsia="Times New Roman" w:hAnsi="Times New Roman"/>
          <w:sz w:val="24"/>
          <w:szCs w:val="24"/>
        </w:rPr>
        <w:t xml:space="preserve"/>
      </w:r>
    </w:p>
    <w:p>
      <w:pPr>
        <w:spacing w:after="160" w:before="360"/>
      </w:pPr>
      <w:r>
        <w:rPr>
          <w:rFonts w:ascii="Times New Roman" w:cs="Times New Roman" w:eastAsia="Times New Roman" w:hAnsi="Times New Roman"/>
          <w:b/>
          <w:bCs/>
          <w:sz w:val="28"/>
          <w:szCs w:val="28"/>
        </w:rPr>
        <w:t xml:space="preserve">C. Prozessuale Aufrechnung (ss 322 Abs. 2 ZPO)</w:t>
      </w:r>
    </w:p>
    <w:p>
      <w:pPr>
        <w:spacing w:after="120" w:before="280"/>
      </w:pPr>
      <w:r>
        <w:rPr>
          <w:rFonts w:ascii="Times New Roman" w:cs="Times New Roman" w:eastAsia="Times New Roman" w:hAnsi="Times New Roman"/>
          <w:b/>
          <w:bCs/>
          <w:sz w:val="26"/>
          <w:szCs w:val="26"/>
        </w:rPr>
        <w:t xml:space="preserve">I. Grundlagen</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Die materiell-rechtliche Aufrechnung nach ss 387 BGB wurde von B bereits am 10.04.2026 erklaert. Im Prozess C gegen B macht B diese als Einwendung nach ss 404 BGB geltend.</w:t>
      </w:r>
    </w:p>
    <w:p>
      <w:pPr>
        <w:spacing w:after="120" w:before="280"/>
      </w:pPr>
      <w:r>
        <w:rPr>
          <w:rFonts w:ascii="Times New Roman" w:cs="Times New Roman" w:eastAsia="Times New Roman" w:hAnsi="Times New Roman"/>
          <w:b/>
          <w:bCs/>
          <w:sz w:val="26"/>
          <w:szCs w:val="26"/>
        </w:rPr>
        <w:t xml:space="preserve">II. Hilfsaufrechnung und Streitstand</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Fuer den Fall, dass das Gericht die vorprozessuale Aufrechnung nicht anerkennt, erklaert B hilfsweise erneut die Aufrechnung. ss 322 Abs. 2 ZPO bestimmt, dass die Rechtskraft des Urteils sich auf die zur Aufrechnung geltend gemachte Gegenforderung erstreckt.</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Streitstand zur Hilfsaufrechnung: Nach h. M. (BGH NJW 2002, 2244; BGH NJW 2007, 2108; Palandt/Grueneberg, ss 388 Rn. 4) ist die prozessuale Eventualaufrechnung zulassig; ss 388 S. 2 BGB (Bedingungsfeindlichkeit) gilt nicht fuer die prozessuale Erklaerung als Prozesshandlung. Die Gegenmeinung (Stein/Jonas/Leipold, ZPO, ss 322 Rn. 80 ff.) sieht ss 388 S. 2 BGB als auch prozessual bindend an. Der h. M. ist zu folgen.</w:t>
      </w:r>
    </w:p>
    <w:p>
      <w:r>
        <w:rPr>
          <w:rFonts w:ascii="Times New Roman" w:cs="Times New Roman" w:eastAsia="Times New Roman" w:hAnsi="Times New Roman"/>
          <w:sz w:val="24"/>
          <w:szCs w:val="24"/>
        </w:rPr>
        <w:t xml:space="preserve"/>
      </w:r>
    </w:p>
    <w:p>
      <w:pPr>
        <w:spacing w:after="160" w:before="360"/>
      </w:pPr>
      <w:r>
        <w:rPr>
          <w:rFonts w:ascii="Times New Roman" w:cs="Times New Roman" w:eastAsia="Times New Roman" w:hAnsi="Times New Roman"/>
          <w:b/>
          <w:bCs/>
          <w:sz w:val="28"/>
          <w:szCs w:val="28"/>
        </w:rPr>
        <w:t xml:space="preserve">D. Gesamtergebnis</w:t>
      </w:r>
    </w:p>
    <w:p>
      <w:pPr>
        <w:spacing w:after="120" w:line="360"/>
        <w:ind w:firstLine="720"/>
        <w:jc w:val="both"/>
      </w:pPr>
      <w:r>
        <w:rPr>
          <w:rFonts w:ascii="Times New Roman" w:cs="Times New Roman" w:eastAsia="Times New Roman" w:hAnsi="Times New Roman"/>
          <w:b w:val="false"/>
          <w:bCs w:val="false"/>
          <w:i w:val="false"/>
          <w:iCs w:val="false"/>
          <w:sz w:val="24"/>
          <w:szCs w:val="24"/>
        </w:rPr>
        <w:t xml:space="preserve">A hat gegen B einen Kaufpreisanspruch auf 2.600 Euro nebst Verzugszinsen seit 02.04.2026, Zug-um-Zug gegen Maengelbeseitigung. C kann als neue Glaeubigerin nach ss 398 BGB nur 2.600 Euro verlangen; B kann ihr ss 404 BGB entgegenhalten. Die prozessuale Aufrechnung des B ist statthaft; ss 322 Abs. 2 ZPO erstreckt die Rechtskraft auf die Darlehensgegenforderung.</w:t>
      </w:r>
    </w:p>
    <w:p>
      <w:r>
        <w:rPr>
          <w:rFonts w:ascii="Times New Roman" w:cs="Times New Roman" w:eastAsia="Times New Roman" w:hAnsi="Times New Roman"/>
          <w:sz w:val="24"/>
          <w:szCs w:val="24"/>
        </w:rPr>
        <w:t xml:space="preserve"/>
      </w:r>
    </w:p>
    <w:p>
      <w:pPr>
        <w:spacing w:after="160" w:before="360"/>
      </w:pPr>
      <w:r>
        <w:rPr>
          <w:rFonts w:ascii="Times New Roman" w:cs="Times New Roman" w:eastAsia="Times New Roman" w:hAnsi="Times New Roman"/>
          <w:b/>
          <w:bCs/>
          <w:sz w:val="28"/>
          <w:szCs w:val="28"/>
        </w:rPr>
        <w:t xml:space="preserve">Literaturverzeichnis</w:t>
      </w:r>
    </w:p>
    <w:p>
      <w:pPr>
        <w:spacing w:after="120" w:line="360"/>
        <w:ind/>
        <w:jc w:val="both"/>
      </w:pPr>
      <w:r>
        <w:rPr>
          <w:rFonts w:ascii="Times New Roman" w:cs="Times New Roman" w:eastAsia="Times New Roman" w:hAnsi="Times New Roman"/>
          <w:b w:val="false"/>
          <w:bCs w:val="false"/>
          <w:i w:val="false"/>
          <w:iCs w:val="false"/>
          <w:sz w:val="24"/>
          <w:szCs w:val="24"/>
        </w:rPr>
        <w:t xml:space="preserve">Faust, Florian: Das neue Kaufrecht nach der Umsetzung der Warenkaufrichtlinie. JuS 2022, 481-490.</w:t>
      </w:r>
    </w:p>
    <w:p>
      <w:pPr>
        <w:spacing w:after="120" w:line="360"/>
        <w:ind/>
        <w:jc w:val="both"/>
      </w:pPr>
      <w:r>
        <w:rPr>
          <w:rFonts w:ascii="Times New Roman" w:cs="Times New Roman" w:eastAsia="Times New Roman" w:hAnsi="Times New Roman"/>
          <w:b w:val="false"/>
          <w:bCs w:val="false"/>
          <w:i w:val="false"/>
          <w:iCs w:val="false"/>
          <w:sz w:val="24"/>
          <w:szCs w:val="24"/>
        </w:rPr>
        <w:t xml:space="preserve">Grueneberg, Christian (Hrsg.): Buergerliches Gesetzbuch, Kommentar. 83. Aufl. C.H.Beck, Muenchen 2024.</w:t>
      </w:r>
    </w:p>
    <w:p>
      <w:pPr>
        <w:spacing w:after="120" w:line="360"/>
        <w:ind/>
        <w:jc w:val="both"/>
      </w:pPr>
      <w:r>
        <w:rPr>
          <w:rFonts w:ascii="Times New Roman" w:cs="Times New Roman" w:eastAsia="Times New Roman" w:hAnsi="Times New Roman"/>
          <w:b w:val="false"/>
          <w:bCs w:val="false"/>
          <w:i w:val="false"/>
          <w:iCs w:val="false"/>
          <w:sz w:val="24"/>
          <w:szCs w:val="24"/>
        </w:rPr>
        <w:t xml:space="preserve">Lorenz, Stephan: Reform des Kaufrechts. NJW 2022, 2497-2504.</w:t>
      </w:r>
    </w:p>
    <w:p>
      <w:pPr>
        <w:spacing w:after="120" w:line="360"/>
        <w:ind/>
        <w:jc w:val="both"/>
      </w:pPr>
      <w:r>
        <w:rPr>
          <w:rFonts w:ascii="Times New Roman" w:cs="Times New Roman" w:eastAsia="Times New Roman" w:hAnsi="Times New Roman"/>
          <w:b w:val="false"/>
          <w:bCs w:val="false"/>
          <w:i w:val="false"/>
          <w:iCs w:val="false"/>
          <w:sz w:val="24"/>
          <w:szCs w:val="24"/>
        </w:rPr>
        <w:t xml:space="preserve">Lorenz, Stephan: Schuldhafte Herbeifoehrung des Schuldnerverzugs. NJW 2006, 1175-1179.</w:t>
      </w:r>
    </w:p>
    <w:p>
      <w:pPr>
        <w:spacing w:after="120" w:line="360"/>
        <w:ind/>
        <w:jc w:val="both"/>
      </w:pPr>
      <w:r>
        <w:rPr>
          <w:rFonts w:ascii="Times New Roman" w:cs="Times New Roman" w:eastAsia="Times New Roman" w:hAnsi="Times New Roman"/>
          <w:b w:val="false"/>
          <w:bCs w:val="false"/>
          <w:i w:val="false"/>
          <w:iCs w:val="false"/>
          <w:sz w:val="24"/>
          <w:szCs w:val="24"/>
        </w:rPr>
        <w:t xml:space="preserve">Medicus, Dieter / Lorenz, Stephan: Schuldrecht I. 22. Aufl. C.H.Beck, Muenchen 2021.</w:t>
      </w:r>
    </w:p>
    <w:p>
      <w:pPr>
        <w:spacing w:after="120" w:line="360"/>
        <w:ind/>
        <w:jc w:val="both"/>
      </w:pPr>
      <w:r>
        <w:rPr>
          <w:rFonts w:ascii="Times New Roman" w:cs="Times New Roman" w:eastAsia="Times New Roman" w:hAnsi="Times New Roman"/>
          <w:b w:val="false"/>
          <w:bCs w:val="false"/>
          <w:i w:val="false"/>
          <w:iCs w:val="false"/>
          <w:sz w:val="24"/>
          <w:szCs w:val="24"/>
        </w:rPr>
        <w:t xml:space="preserve">Muenchener Kommentar zum BGB. Bd. 3. 9. Aufl. C.H.Beck, Muenchen 2023.</w:t>
      </w:r>
    </w:p>
    <w:p>
      <w:pPr>
        <w:spacing w:after="120" w:line="360"/>
        <w:ind/>
        <w:jc w:val="both"/>
      </w:pPr>
      <w:r>
        <w:rPr>
          <w:rFonts w:ascii="Times New Roman" w:cs="Times New Roman" w:eastAsia="Times New Roman" w:hAnsi="Times New Roman"/>
          <w:b w:val="false"/>
          <w:bCs w:val="false"/>
          <w:i w:val="false"/>
          <w:iCs w:val="false"/>
          <w:sz w:val="24"/>
          <w:szCs w:val="24"/>
        </w:rPr>
        <w:t xml:space="preserve">Staudinger: Kommentar zum BGB. Buch 2, ss 255-304. Neubearbeitung 2022. Sellier - de Gruyter, Berlin 2022.</w:t>
      </w:r>
    </w:p>
    <w:p>
      <w:pPr>
        <w:spacing w:after="120" w:line="360"/>
        <w:ind/>
        <w:jc w:val="both"/>
      </w:pPr>
      <w:r>
        <w:rPr>
          <w:rFonts w:ascii="Times New Roman" w:cs="Times New Roman" w:eastAsia="Times New Roman" w:hAnsi="Times New Roman"/>
          <w:b w:val="false"/>
          <w:bCs w:val="false"/>
          <w:i w:val="false"/>
          <w:iCs w:val="false"/>
          <w:sz w:val="24"/>
          <w:szCs w:val="24"/>
        </w:rPr>
        <w:t xml:space="preserve">Stein, Friedrich / Jonas, Martin: Kommentar zur ZPO. Bd. 4, ss 271-327. 23. Aufl. Mohr Siebeck, Tuebingen 2018.</w:t>
      </w:r>
    </w:p>
    <w:p>
      <w:pPr>
        <w:spacing w:after="120" w:line="360"/>
        <w:ind/>
        <w:jc w:val="both"/>
      </w:pPr>
      <w:r>
        <w:rPr>
          <w:rFonts w:ascii="Times New Roman" w:cs="Times New Roman" w:eastAsia="Times New Roman" w:hAnsi="Times New Roman"/>
          <w:b w:val="false"/>
          <w:bCs w:val="false"/>
          <w:i w:val="false"/>
          <w:iCs w:val="false"/>
          <w:sz w:val="24"/>
          <w:szCs w:val="24"/>
        </w:rPr>
        <w:t xml:space="preserve">BGH, Urt. v. 18.12.1975 - VII ZR 260/73 - NJW 1976, 1258.</w:t>
      </w:r>
    </w:p>
    <w:p>
      <w:pPr>
        <w:spacing w:after="120" w:line="360"/>
        <w:ind/>
        <w:jc w:val="both"/>
      </w:pPr>
      <w:r>
        <w:rPr>
          <w:rFonts w:ascii="Times New Roman" w:cs="Times New Roman" w:eastAsia="Times New Roman" w:hAnsi="Times New Roman"/>
          <w:b w:val="false"/>
          <w:bCs w:val="false"/>
          <w:i w:val="false"/>
          <w:iCs w:val="false"/>
          <w:sz w:val="24"/>
          <w:szCs w:val="24"/>
        </w:rPr>
        <w:t xml:space="preserve">BGH, Urt. v. 09.07.2014 - VIII ZR 376/13 - NJW 2014, 3294.</w:t>
      </w:r>
    </w:p>
    <w:p>
      <w:pPr>
        <w:spacing w:after="120" w:line="360"/>
        <w:ind/>
        <w:jc w:val="both"/>
      </w:pPr>
      <w:r>
        <w:rPr>
          <w:rFonts w:ascii="Times New Roman" w:cs="Times New Roman" w:eastAsia="Times New Roman" w:hAnsi="Times New Roman"/>
          <w:b w:val="false"/>
          <w:bCs w:val="false"/>
          <w:i w:val="false"/>
          <w:iCs w:val="false"/>
          <w:sz w:val="24"/>
          <w:szCs w:val="24"/>
        </w:rPr>
        <w:t xml:space="preserve">BGH, Urt. v. 28.06.2011 - X ZR 106/10 - NJW 2011, 2785.</w:t>
      </w:r>
    </w:p>
    <w:p>
      <w:pPr>
        <w:spacing w:after="120" w:line="360"/>
        <w:ind/>
        <w:jc w:val="both"/>
      </w:pPr>
      <w:r>
        <w:rPr>
          <w:rFonts w:ascii="Times New Roman" w:cs="Times New Roman" w:eastAsia="Times New Roman" w:hAnsi="Times New Roman"/>
          <w:b w:val="false"/>
          <w:bCs w:val="false"/>
          <w:i w:val="false"/>
          <w:iCs w:val="false"/>
          <w:sz w:val="24"/>
          <w:szCs w:val="24"/>
        </w:rPr>
        <w:t xml:space="preserve">BGH, Urt. v. 24.09.2014 - VIII ZR 394/12 - NJW 2014, 2780.</w:t>
      </w:r>
    </w:p>
    <w:p>
      <w:pPr>
        <w:spacing w:after="120" w:line="360"/>
        <w:ind/>
        <w:jc w:val="both"/>
      </w:pPr>
      <w:r>
        <w:rPr>
          <w:rFonts w:ascii="Times New Roman" w:cs="Times New Roman" w:eastAsia="Times New Roman" w:hAnsi="Times New Roman"/>
          <w:b w:val="false"/>
          <w:bCs w:val="false"/>
          <w:i w:val="false"/>
          <w:iCs w:val="false"/>
          <w:sz w:val="24"/>
          <w:szCs w:val="24"/>
        </w:rPr>
        <w:t xml:space="preserve">BGH, Urt. v. 27.03.2002 - VIII ZR 97/01 - NJW 2002, 2244.</w:t>
      </w:r>
    </w:p>
    <w:p>
      <w:pPr>
        <w:spacing w:after="120" w:line="360"/>
        <w:ind/>
        <w:jc w:val="both"/>
      </w:pPr>
      <w:r>
        <w:rPr>
          <w:rFonts w:ascii="Times New Roman" w:cs="Times New Roman" w:eastAsia="Times New Roman" w:hAnsi="Times New Roman"/>
          <w:b w:val="false"/>
          <w:bCs w:val="false"/>
          <w:i w:val="false"/>
          <w:iCs w:val="false"/>
          <w:sz w:val="24"/>
          <w:szCs w:val="24"/>
        </w:rPr>
        <w:t xml:space="preserve">BGH, Urt. v. 05.12.2007 - IV ZR 139/07 - NJW 2007, 2108.</w:t>
      </w:r>
    </w:p>
    <w:sectPr>
      <w:pgSz w:w="11906" w:h="16838" w:orient="portrait"/>
      <w:pgMar w:top="1440" w:right="144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2026-05-30T19:07:10.398Z</dcterms:created>
  <dcterms:modified xsi:type="dcterms:W3CDTF">2026-05-30T19:07:10.398Z</dcterms:modified>
</cp:coreProperties>
</file>

<file path=docProps/custom.xml><?xml version="1.0" encoding="utf-8"?>
<Properties xmlns="http://schemas.openxmlformats.org/officeDocument/2006/custom-properties" xmlns:vt="http://schemas.openxmlformats.org/officeDocument/2006/docPropsVTypes"/>
</file>