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rFonts w:ascii="Calibri" w:cs="Calibri" w:eastAsia="Calibri" w:hAnsi="Calibri"/>
          <w:b/>
          <w:bCs/>
          <w:sz w:val="28"/>
          <w:szCs w:val="28"/>
        </w:rPr>
        <w:t xml:space="preserve">Kanzlei Baehrens Vergaberecht</w:t>
      </w:r>
    </w:p>
    <w:p>
      <w:r>
        <w:rPr>
          <w:rFonts w:ascii="Calibri" w:cs="Calibri" w:eastAsia="Calibri" w:hAnsi="Calibri"/>
          <w:color w:val="7A7974"/>
          <w:sz w:val="18"/>
          <w:szCs w:val="18"/>
        </w:rPr>
        <w:t xml:space="preserve">Unter den Linden 48 | 10117 Berlin | Tel.: 030/20 94 38 20 | c.baehrens@baehrens-vergabe.de</w:t>
      </w:r>
    </w:p>
    <w:p/>
    <w:p>
      <w:r>
        <w:rPr>
          <w:rFonts w:ascii="Calibri" w:cs="Calibri" w:eastAsia="Calibri" w:hAnsi="Calibri"/>
          <w:sz w:val="20"/>
          <w:szCs w:val="20"/>
        </w:rPr>
        <w:t xml:space="preserve">An die</w:t>
      </w:r>
    </w:p>
    <w:p>
      <w:r>
        <w:rPr>
          <w:rFonts w:ascii="Calibri" w:cs="Calibri" w:eastAsia="Calibri" w:hAnsi="Calibri"/>
          <w:b/>
          <w:bCs/>
          <w:sz w:val="20"/>
          <w:szCs w:val="20"/>
        </w:rPr>
        <w:t xml:space="preserve">Vergabekammer des Bundes beim Bundeskartellamt</w:t>
      </w:r>
    </w:p>
    <w:p>
      <w:r>
        <w:rPr>
          <w:rFonts w:ascii="Calibri" w:cs="Calibri" w:eastAsia="Calibri" w:hAnsi="Calibri"/>
          <w:sz w:val="20"/>
          <w:szCs w:val="20"/>
        </w:rPr>
        <w:t xml:space="preserve">- 1. Beschlussabteilung -</w:t>
      </w:r>
    </w:p>
    <w:p>
      <w:r>
        <w:rPr>
          <w:rFonts w:ascii="Calibri" w:cs="Calibri" w:eastAsia="Calibri" w:hAnsi="Calibri"/>
          <w:sz w:val="20"/>
          <w:szCs w:val="20"/>
        </w:rPr>
        <w:t xml:space="preserve">Villemombler Strasse 76</w:t>
      </w:r>
    </w:p>
    <w:p>
      <w:r>
        <w:rPr>
          <w:rFonts w:ascii="Calibri" w:cs="Calibri" w:eastAsia="Calibri" w:hAnsi="Calibri"/>
          <w:sz w:val="20"/>
          <w:szCs w:val="20"/>
        </w:rPr>
        <w:t xml:space="preserve">53123 Bonn</w:t>
      </w:r>
    </w:p>
    <w:p/>
    <w:p>
      <w:pPr>
        <w:jc w:val="right"/>
      </w:pPr>
      <w:r>
        <w:rPr>
          <w:rFonts w:ascii="Calibri" w:cs="Calibri" w:eastAsia="Calibri" w:hAnsi="Calibri"/>
          <w:i/>
          <w:iCs/>
          <w:sz w:val="20"/>
          <w:szCs w:val="20"/>
        </w:rPr>
        <w:t xml:space="preserve">Berlin, 24. April 2026</w:t>
      </w:r>
    </w:p>
    <w:p/>
    <w:p>
      <w:pPr>
        <w:jc w:val="center"/>
      </w:pPr>
      <w:r>
        <w:rPr>
          <w:rFonts w:ascii="Calibri" w:cs="Calibri" w:eastAsia="Calibri" w:hAnsi="Calibri"/>
          <w:b/>
          <w:bCs/>
          <w:color w:val="28251D"/>
          <w:sz w:val="32"/>
          <w:szCs w:val="32"/>
        </w:rPr>
        <w:t xml:space="preserve">NACHPRUEFUNGSANTRAG</w:t>
      </w:r>
    </w:p>
    <w:p>
      <w:pPr>
        <w:jc w:val="center"/>
      </w:pPr>
      <w:r>
        <w:rPr>
          <w:rFonts w:ascii="Calibri" w:cs="Calibri" w:eastAsia="Calibri" w:hAnsi="Calibri"/>
          <w:color w:val="7A7974"/>
          <w:sz w:val="22"/>
          <w:szCs w:val="22"/>
        </w:rPr>
        <w:t xml:space="preserve">gemass §§ 160 ff. GWB</w:t>
      </w:r>
    </w:p>
    <w:p/>
    <w:p>
      <w:r>
        <w:rPr>
          <w:rFonts w:ascii="Calibri" w:cs="Calibri" w:eastAsia="Calibri" w:hAnsi="Calibri"/>
          <w:b/>
          <w:bCs/>
          <w:sz w:val="20"/>
          <w:szCs w:val="20"/>
        </w:rPr>
        <w:t xml:space="preserve">Aktenzeichen: VK 1-32/26</w:t>
      </w:r>
    </w:p>
    <w:p>
      <w:r>
        <w:rPr>
          <w:rFonts w:ascii="Calibri" w:cs="Calibri" w:eastAsia="Calibri" w:hAnsi="Calibri"/>
          <w:sz w:val="20"/>
          <w:szCs w:val="20"/>
        </w:rPr>
        <w:t xml:space="preserve">Vergabeverfahren: LH-SN-Cyber-SOC-NSV-2026 / TED 2026/S 042-XXXXXX</w:t>
      </w:r>
    </w:p>
    <w:p/>
    <w:p>
      <w:r>
        <w:rPr>
          <w:rFonts w:ascii="Calibri" w:cs="Calibri" w:eastAsia="Calibri" w:hAnsi="Calibri"/>
          <w:b/>
          <w:bCs/>
          <w:sz w:val="20"/>
          <w:szCs w:val="20"/>
        </w:rPr>
        <w:t xml:space="preserve">Antragstellerin:</w:t>
      </w:r>
    </w:p>
    <w:p>
      <w:r>
        <w:rPr>
          <w:rFonts w:ascii="Calibri" w:cs="Calibri" w:eastAsia="Calibri" w:hAnsi="Calibri"/>
          <w:sz w:val="20"/>
          <w:szCs w:val="20"/>
        </w:rPr>
        <w:t xml:space="preserve">CyberShield Defense GmbH, Alexanderstrasse 7, 10178 Berlin</w:t>
      </w:r>
    </w:p>
    <w:p>
      <w:r>
        <w:rPr>
          <w:rFonts w:ascii="Calibri" w:cs="Calibri" w:eastAsia="Calibri" w:hAnsi="Calibri"/>
          <w:sz w:val="20"/>
          <w:szCs w:val="20"/>
        </w:rPr>
        <w:t xml:space="preserve">vertreten durch RA Dr. Constantin Baehrens, Kanzlei Baehrens Vergaberecht</w:t>
      </w:r>
    </w:p>
    <w:p/>
    <w:p>
      <w:r>
        <w:rPr>
          <w:rFonts w:ascii="Calibri" w:cs="Calibri" w:eastAsia="Calibri" w:hAnsi="Calibri"/>
          <w:b/>
          <w:bCs/>
          <w:sz w:val="20"/>
          <w:szCs w:val="20"/>
        </w:rPr>
        <w:t xml:space="preserve">Antragsgegnerin:</w:t>
      </w:r>
    </w:p>
    <w:p>
      <w:r>
        <w:rPr>
          <w:rFonts w:ascii="Calibri" w:cs="Calibri" w:eastAsia="Calibri" w:hAnsi="Calibri"/>
          <w:sz w:val="20"/>
          <w:szCs w:val="20"/>
        </w:rPr>
        <w:t xml:space="preserve">Landeshauptstadt Schwerin / Eigenbetrieb SDS, Am Gruenen Tal 18, 19063 Schwerin</w:t>
      </w:r>
    </w:p>
    <w:p/>
    <w:p>
      <w:r>
        <w:rPr>
          <w:rFonts w:ascii="Calibri" w:cs="Calibri" w:eastAsia="Calibri" w:hAnsi="Calibri"/>
          <w:b/>
          <w:bCs/>
          <w:color w:val="01696F"/>
          <w:sz w:val="24"/>
          <w:szCs w:val="24"/>
        </w:rPr>
        <w:t xml:space="preserve">I. Zustaendigkeit der Vergabekammer des Bundes</w:t>
      </w:r>
    </w:p>
    <w:p>
      <w:r>
        <w:rPr>
          <w:rFonts w:ascii="Calibri" w:cs="Calibri" w:eastAsia="Calibri" w:hAnsi="Calibri"/>
          <w:sz w:val="20"/>
          <w:szCs w:val="20"/>
        </w:rPr>
        <w:t xml:space="preserve">Die VK Bund ist nach § 159 Abs. 1 Nr. 1 GWB i.V.m. § 55 BSIG zustaendig, da die Ausschreibung Sicherheitsleistungen fuer einen KRITIS-Betreiber (NSV, Sektor Verkehr) im Anwendungsbereich des BSI-Gesetzes betrifft. Die Auftraggeberin hat in der TED-Bekanntmachung (Abschnitt VI.4.1) die VK Bund selbst als zustaendige Stelle benannt.</w:t>
      </w:r>
    </w:p>
    <w:p/>
    <w:p>
      <w:r>
        <w:rPr>
          <w:rFonts w:ascii="Calibri" w:cs="Calibri" w:eastAsia="Calibri" w:hAnsi="Calibri"/>
          <w:b/>
          <w:bCs/>
          <w:color w:val="01696F"/>
          <w:sz w:val="24"/>
          <w:szCs w:val="24"/>
        </w:rPr>
        <w:t xml:space="preserve">II. Zulaessigkeit</w:t>
      </w:r>
    </w:p>
    <w:p>
      <w:r>
        <w:rPr>
          <w:rFonts w:ascii="Calibri" w:cs="Calibri" w:eastAsia="Calibri" w:hAnsi="Calibri"/>
          <w:sz w:val="20"/>
          <w:szCs w:val="20"/>
        </w:rPr>
        <w:t xml:space="preserve">1. Schwellenwert: Geschaetzter Auftragswert 2.800.000 EUR - EU-Schwellenwert eindeutig ueberschritten (§ 106 GWB i.V.m. § 3 VgV: 221.000 EUR).</w:t>
      </w:r>
    </w:p>
    <w:p>
      <w:r>
        <w:rPr>
          <w:rFonts w:ascii="Calibri" w:cs="Calibri" w:eastAsia="Calibri" w:hAnsi="Calibri"/>
          <w:sz w:val="20"/>
          <w:szCs w:val="20"/>
        </w:rPr>
        <w:t xml:space="preserve">2. Antragsbefugnis: CyberShield hat am Verfahren teilgenommen und ist durch den Ausschluss in ihren Bieterrechten beeintraechtigt (§ 160 Abs. 2 GWB).</w:t>
      </w:r>
    </w:p>
    <w:p>
      <w:r>
        <w:rPr>
          <w:rFonts w:ascii="Calibri" w:cs="Calibri" w:eastAsia="Calibri" w:hAnsi="Calibri"/>
          <w:sz w:val="20"/>
          <w:szCs w:val="20"/>
        </w:rPr>
        <w:t xml:space="preserve">3. Ruege und Nichtabhilfe: Ruege 17.04.2026, Nichtabhilfe 22.04.2026. Antrag am 24.04.2026 - innerhalb von 15 Tagen (§ 160 Abs. 3 Nr. 4 GWB).</w:t>
      </w:r>
    </w:p>
    <w:p/>
    <w:p>
      <w:r>
        <w:rPr>
          <w:rFonts w:ascii="Calibri" w:cs="Calibri" w:eastAsia="Calibri" w:hAnsi="Calibri"/>
          <w:b/>
          <w:bCs/>
          <w:color w:val="01696F"/>
          <w:sz w:val="24"/>
          <w:szCs w:val="24"/>
        </w:rPr>
        <w:t xml:space="preserve">III. Begruendetheit</w:t>
      </w:r>
    </w:p>
    <w:p>
      <w:r>
        <w:rPr>
          <w:rFonts w:ascii="Calibri" w:cs="Calibri" w:eastAsia="Calibri" w:hAnsi="Calibri"/>
          <w:b/>
          <w:bCs/>
          <w:sz w:val="21"/>
          <w:szCs w:val="21"/>
        </w:rPr>
        <w:t xml:space="preserve">Vergabeverstos 1: Unzulaessiger Bieterausschluss</w:t>
      </w:r>
    </w:p>
    <w:p>
      <w:r>
        <w:rPr>
          <w:rFonts w:ascii="Calibri" w:cs="Calibri" w:eastAsia="Calibri" w:hAnsi="Calibri"/>
          <w:sz w:val="20"/>
          <w:szCs w:val="20"/>
        </w:rPr>
        <w:t xml:space="preserve">Das Eignungskriterium T-2 formuliert 'bevorzugt im Sektor Verkehr oder Energie' - kein KO-Kriterium. CyberShield hat drei Referenzen bei KRITIS-Betreibern vorgelegt, davon eine bei einem KRITIS-Betreiber Sektor Verkehr (VVS Stuttgart). Der Ausschluss verletzt § 57 VgV i.V.m. § 122 GWB und das Transparenzgebot (§ 97 Abs. 1 GWB).</w:t>
      </w:r>
    </w:p>
    <w:p/>
    <w:p>
      <w:r>
        <w:rPr>
          <w:rFonts w:ascii="Calibri" w:cs="Calibri" w:eastAsia="Calibri" w:hAnsi="Calibri"/>
          <w:b/>
          <w:bCs/>
          <w:sz w:val="21"/>
          <w:szCs w:val="21"/>
        </w:rPr>
        <w:t xml:space="preserve">Vergabeverstos 2: Unzulaessige Nachverhandlung mit ProtectIT SE</w:t>
      </w:r>
    </w:p>
    <w:p>
      <w:r>
        <w:rPr>
          <w:rFonts w:ascii="Calibri" w:cs="Calibri" w:eastAsia="Calibri" w:hAnsi="Calibri"/>
          <w:sz w:val="20"/>
          <w:szCs w:val="20"/>
        </w:rPr>
        <w:t xml:space="preserve">ProtectIT SE hat nach dem Aufklaerungsgespraech (08.04.2026) am 10.04.2026 eine ueberarbeitete Fassung ihres Reaktionszeitenkonzepts uebersandt, in der die Reaktionszeit Severity-2 von 30 auf 60 Minuten geaendert wurde. Dies ist eine inhaltliche Angebotsaenderung, kein blosser Irrtum. Im Offenen Verfahren sind Nachverhandlungen nach § 15 Abs. 5 VgV unzulaessig.</w:t>
      </w:r>
    </w:p>
    <w:p/>
    <w:p>
      <w:r>
        <w:rPr>
          <w:rFonts w:ascii="Calibri" w:cs="Calibri" w:eastAsia="Calibri" w:hAnsi="Calibri"/>
          <w:b/>
          <w:bCs/>
          <w:sz w:val="20"/>
          <w:szCs w:val="20"/>
        </w:rPr>
        <w:t xml:space="preserve">Rechtsprechung:</w:t>
      </w:r>
    </w:p>
    <w:p>
      <w:r>
        <w:rPr>
          <w:rFonts w:ascii="Calibri" w:cs="Calibri" w:eastAsia="Calibri" w:hAnsi="Calibri"/>
          <w:i/>
          <w:iCs/>
          <w:sz w:val="20"/>
          <w:szCs w:val="20"/>
        </w:rPr>
        <w:t xml:space="preserve">- BGH, Beschluss v. 07.01.2014 - X ZB 15/13: Eignungsanforderungen sind nach Wortlaut zu beurteilen.</w:t>
      </w:r>
    </w:p>
    <w:p>
      <w:r>
        <w:rPr>
          <w:rFonts w:ascii="Calibri" w:cs="Calibri" w:eastAsia="Calibri" w:hAnsi="Calibri"/>
          <w:i/>
          <w:iCs/>
          <w:sz w:val="20"/>
          <w:szCs w:val="20"/>
        </w:rPr>
        <w:t xml:space="preserve">- OLG Muenchen, Beschluss v. 25.04.2019 - Verg 3/19: Aenderung von Leistungsparametern nach Angebotseroeffnung ist Nachverhandlung.</w:t>
      </w:r>
    </w:p>
    <w:p/>
    <w:p>
      <w:r>
        <w:rPr>
          <w:rFonts w:ascii="Calibri" w:cs="Calibri" w:eastAsia="Calibri" w:hAnsi="Calibri"/>
          <w:b/>
          <w:bCs/>
          <w:color w:val="01696F"/>
          <w:sz w:val="24"/>
          <w:szCs w:val="24"/>
        </w:rPr>
        <w:t xml:space="preserve">IV. Antrage</w:t>
      </w:r>
    </w:p>
    <w:p>
      <w:r>
        <w:rPr>
          <w:rFonts w:ascii="Calibri" w:cs="Calibri" w:eastAsia="Calibri" w:hAnsi="Calibri"/>
          <w:sz w:val="20"/>
          <w:szCs w:val="20"/>
        </w:rPr>
        <w:t xml:space="preserve">Die Antragstellerin beantragt:</w:t>
      </w:r>
    </w:p>
    <w:p>
      <w:pPr>
        <w:ind w:left="720"/>
      </w:pPr>
      <w:r>
        <w:rPr>
          <w:rFonts w:ascii="Calibri" w:cs="Calibri" w:eastAsia="Calibri" w:hAnsi="Calibri"/>
          <w:sz w:val="20"/>
          <w:szCs w:val="20"/>
        </w:rPr>
        <w:t xml:space="preserve">1. Die Antragsgegnerin zu verpflichten, den Angebotsausschluss der CyberShield aufzuheben und das Angebot in die Wertung einzubeziehen.</w:t>
      </w:r>
    </w:p>
    <w:p>
      <w:pPr>
        <w:ind w:left="720"/>
      </w:pPr>
      <w:r>
        <w:rPr>
          <w:rFonts w:ascii="Calibri" w:cs="Calibri" w:eastAsia="Calibri" w:hAnsi="Calibri"/>
          <w:sz w:val="20"/>
          <w:szCs w:val="20"/>
        </w:rPr>
        <w:t xml:space="preserve">2. Der Antragsgegnerin zu untersagen, den Zuschlag zu erteilen, bis ueber diesen Antrag rechtskraeftig entschieden ist.</w:t>
      </w:r>
    </w:p>
    <w:p>
      <w:pPr>
        <w:ind w:left="720"/>
      </w:pPr>
      <w:r>
        <w:rPr>
          <w:rFonts w:ascii="Calibri" w:cs="Calibri" w:eastAsia="Calibri" w:hAnsi="Calibri"/>
          <w:sz w:val="20"/>
          <w:szCs w:val="20"/>
        </w:rPr>
        <w:t xml:space="preserve">3. Der Antragstellerin Akteneinsicht in den Vergabevermerk (Eignungspruefung, Aufklaerungsgespraech ProtectIT) zu gewaehren.</w:t>
      </w:r>
    </w:p>
    <w:p>
      <w:pPr>
        <w:ind w:left="720"/>
      </w:pPr>
      <w:r>
        <w:rPr>
          <w:rFonts w:ascii="Calibri" w:cs="Calibri" w:eastAsia="Calibri" w:hAnsi="Calibri"/>
          <w:sz w:val="20"/>
          <w:szCs w:val="20"/>
        </w:rPr>
        <w:t xml:space="preserve">4. Die Kosten des Verfahrens der Antragsgegnerin aufzuerlegen.</w:t>
      </w:r>
    </w:p>
    <w:p/>
    <w:p>
      <w:r>
        <w:rPr>
          <w:rFonts w:ascii="Calibri" w:cs="Calibri" w:eastAsia="Calibri" w:hAnsi="Calibri"/>
          <w:b/>
          <w:bCs/>
          <w:sz w:val="20"/>
          <w:szCs w:val="20"/>
        </w:rPr>
        <w:t xml:space="preserve">Hilfsantrag:</w:t>
      </w:r>
    </w:p>
    <w:p>
      <w:r>
        <w:rPr>
          <w:rFonts w:ascii="Calibri" w:cs="Calibri" w:eastAsia="Calibri" w:hAnsi="Calibri"/>
          <w:sz w:val="20"/>
          <w:szCs w:val="20"/>
        </w:rPr>
        <w:t xml:space="preserve">Sollte eine Neuwertung nicht moeglich sein (Zuschlag bereits erteilt): Feststellung der Rechtswidrigkeit des Ausschlusses zum Zwecke der Schadensersatzklage gem. § 181 GWB.</w:t>
      </w:r>
    </w:p>
    <w:p/>
    <w:p>
      <w:r>
        <w:rPr>
          <w:rFonts w:ascii="Calibri" w:cs="Calibri" w:eastAsia="Calibri" w:hAnsi="Calibri"/>
          <w:b/>
          <w:bCs/>
          <w:color w:val="01696F"/>
          <w:sz w:val="24"/>
          <w:szCs w:val="24"/>
        </w:rPr>
        <w:t xml:space="preserve">V. Beweismittel</w:t>
      </w:r>
    </w:p>
    <w:p>
      <w:r>
        <w:rPr>
          <w:rFonts w:ascii="Calibri" w:cs="Calibri" w:eastAsia="Calibri" w:hAnsi="Calibri"/>
          <w:i/>
          <w:iCs/>
          <w:sz w:val="19"/>
          <w:szCs w:val="19"/>
        </w:rPr>
        <w:t xml:space="preserve">Anlage 1: Ruege vom 17.04.2026  |  Anlage 2: Nichtabhilfeschreiben 22.04.2026  |  Anlage 3: Referenzblatter (3 Stueck)  |  Anlage 4: Ausschlussschreiben 14.04.2026  |  Anlage 5: TED-Bekanntmachung + Vergabeunterlagen Teil B  |  Anlage 6: § 134-Informationsschreiben  |  Anlage 7: Vollmacht</w:t>
      </w:r>
    </w:p>
    <w:p/>
    <w:p>
      <w:r>
        <w:rPr>
          <w:rFonts w:ascii="Calibri" w:cs="Calibri" w:eastAsia="Calibri" w:hAnsi="Calibri"/>
          <w:sz w:val="20"/>
          <w:szCs w:val="20"/>
        </w:rPr>
        <w:t xml:space="preserve">Mit freundlichen Gruessen</w:t>
      </w:r>
    </w:p>
    <w:p/>
    <w:p>
      <w:r>
        <w:rPr>
          <w:rFonts w:ascii="Calibri" w:cs="Calibri" w:eastAsia="Calibri" w:hAnsi="Calibri"/>
          <w:b/>
          <w:bCs/>
          <w:sz w:val="22"/>
          <w:szCs w:val="22"/>
        </w:rPr>
        <w:t xml:space="preserve">Dr. Constantin Baehrens</w:t>
      </w:r>
    </w:p>
    <w:p>
      <w:r>
        <w:rPr>
          <w:rFonts w:ascii="Calibri" w:cs="Calibri" w:eastAsia="Calibri" w:hAnsi="Calibri"/>
          <w:sz w:val="20"/>
          <w:szCs w:val="20"/>
        </w:rPr>
        <w:t xml:space="preserve">Rechtsanwalt, Fachanwalt fuer Vergaberecht</w:t>
      </w:r>
    </w:p>
    <w:p>
      <w:r>
        <w:rPr>
          <w:rFonts w:ascii="Calibri" w:cs="Calibri" w:eastAsia="Calibri" w:hAnsi="Calibri"/>
          <w:color w:val="7A7974"/>
          <w:sz w:val="18"/>
          <w:szCs w:val="18"/>
        </w:rPr>
        <w:t xml:space="preserve">Kanzlei Baehrens Vergaberecht, Unter den Linden 48, 10117 Berlin</w:t>
      </w:r>
    </w:p>
    <w:sectPr>
      <w:pgSz w:w="11906" w:h="16838" w:orient="portrait"/>
      <w:pgMar w:top="1440" w:right="1440" w:bottom="1440" w:left="18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Nachpruefungsantrag VK 1-32/26</dc:title>
  <dc:creator>Kanzlei Baehrens Vergaberecht</dc:creator>
  <dc:description>Nachpruefungsantrag CyberShield Defense GmbH bei Vergabekammer des Bundes</dc:description>
  <cp:lastModifiedBy>Un-named</cp:lastModifiedBy>
  <cp:revision>1</cp:revision>
  <dcterms:created xsi:type="dcterms:W3CDTF">2026-05-30T15:57:30.895Z</dcterms:created>
  <dcterms:modified xsi:type="dcterms:W3CDTF">2026-05-30T15:57:30.896Z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