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rPr>
          <w:b/>
          <w:bCs/>
        </w:rPr>
        <w:t xml:space="preserve">RHEINISCHE FRIEDRICH-WILHELMS-UNIVERSITÄT BONN</w:t>
      </w:r>
    </w:p>
    <w:p>
      <w:pPr>
        <w:spacing w:after="120"/>
        <w:jc w:val="center"/>
      </w:pPr>
      <w:r>
        <w:rPr>
          <w:i/>
          <w:iCs/>
        </w:rPr>
        <w:t xml:space="preserve">Rechtswissenschaftliche Fakultät</w:t>
      </w:r>
    </w:p>
    <w:p>
      <w:pPr>
        <w:spacing w:after="120"/>
        <w:jc w:val="center"/>
      </w:pPr>
      <w:r>
        <w:t xml:space="preserve">Lehrstuhl für Internationales Privatrecht und Rechtsvergleichung</w:t>
      </w:r>
    </w:p>
    <w:p>
      <w:pPr>
        <w:spacing w:after="400"/>
        <w:jc w:val="center"/>
      </w:pPr>
      <w:r>
        <w:rPr>
          <w:i/>
          <w:iCs/>
        </w:rPr>
        <w:t xml:space="preserve">Prof. Dr. Friedrich Witzleben</w:t>
      </w:r>
    </w:p>
    <w:p>
      <w:pPr>
        <w:pStyle w:val="Heading1"/>
        <w:spacing w:after="120" w:before="240"/>
      </w:pPr>
      <w:r>
        <w:t xml:space="preserve">Der qualifizierte Statutenwechsel im internationalen Vertragsrecht</w:t>
      </w:r>
    </w:p>
    <w:p>
      <w:pPr>
        <w:spacing w:after="400"/>
        <w:jc w:val="center"/>
      </w:pPr>
      <w:r>
        <w:rPr>
          <w:i/>
          <w:iCs/>
        </w:rPr>
        <w:t xml:space="preserve">Zur Koordination von Art. 3 Abs. 2 und Art. 4 Abs. 3 Rom-I-VO bei nachträglicher Rechtswahlbedingung und dem Schutz wohlerworbener Rechte Dritter</w:t>
      </w:r>
    </w:p>
    <w:p>
      <w:pPr>
        <w:spacing w:after="120"/>
        <w:jc w:val="center"/>
      </w:pPr>
      <w:r>
        <w:rPr>
          <w:i/>
          <w:iCs/>
        </w:rPr>
        <w:t xml:space="preserve">Schwerpunkthausarbeit im Wintersemester 2025/2026</w:t>
      </w:r>
    </w:p>
    <w:p>
      <w:pPr>
        <w:spacing w:after="120"/>
        <w:jc w:val="center"/>
      </w:pPr>
      <w:r>
        <w:rPr>
          <w:i/>
          <w:iCs/>
        </w:rPr>
        <w:t xml:space="preserve">Vorgelegt von: Annika Roosendaal-Tinnefeld | Matrikel-Nr. 2271084 | 9. Fachsemester</w:t>
      </w:r>
    </w:p>
    <w:p>
      <w:pPr>
        <w:spacing w:after="600"/>
        <w:jc w:val="center"/>
      </w:pPr>
      <w:r>
        <w:rPr>
          <w:i/>
          <w:iCs/>
        </w:rPr>
        <w:t xml:space="preserve">Einreichung: 15. Februar 2026 | Note: 11 Punkte (vollbefriedigend)</w:t>
      </w:r>
    </w:p>
    <w:p>
      <w:pPr>
        <w:pStyle w:val="Heading1"/>
        <w:spacing w:after="120" w:before="240"/>
      </w:pPr>
      <w:r>
        <w:t xml:space="preserve">A. Einleitung</w:t>
      </w:r>
    </w:p>
    <w:p>
      <w:pPr>
        <w:pStyle w:val="Heading2"/>
        <w:spacing w:after="120" w:before="240"/>
      </w:pPr>
      <w:r>
        <w:t xml:space="preserve">I. Problemstellung</w:t>
      </w:r>
    </w:p>
    <w:p>
      <w:pPr>
        <w:spacing w:after="120"/>
      </w:pPr>
      <w:r>
        <w:t xml:space="preserve">Das Internationale Privatrecht sieht sich bei Verträgen mit Auslandsbezug stets mit der Frage konfrontiert, welche Rechtsordnung für die Beurteilung der vertraglichen Beziehungen maßgeblich ist. Seit dem Inkrafttreten der Verordnung (EG) Nr. 593/2008 über das auf vertragliche Schuldverhältnisse anzuwendende Recht (Rom-I-VO) am 17. Dezember 2009 ist die Frage des anwendbaren Vertragsrechts für die Mitgliedstaaten der Europäischen Union weitgehend einheitlich geregelt.</w:t>
      </w:r>
    </w:p>
    <w:p>
      <w:pPr>
        <w:spacing w:after="120"/>
      </w:pPr>
      <w:r>
        <w:t xml:space="preserve">Besondere Schwierigkeiten entstehen, wenn die Parteien das anwendbare Recht nicht bereits bei Vertragsschluss, sondern nachträglich ändern. Art. 3 Abs. 2 S. 1 Rom-I-VO gestattet ausdrücklich die nachträgliche Änderung des Vertragsstatuts. Art. 3 Abs. 2 S. 2 Rom-I-VO schützt jedoch wohlerworbene Rechte Dritter.</w:t>
      </w:r>
    </w:p>
    <w:p>
      <w:pPr>
        <w:spacing w:after="120"/>
      </w:pPr>
      <w:r>
        <w:t xml:space="preserve">Die vorliegende Arbeit untersucht, wie dieser Schutz wohlerworbener Rechte Dritter mit der Ausweichklausel des Art. 4 Abs. 3 Rom-I-VO in Einklang gebracht werden kann und welche Auswirkungen der qualifizierte Statutenwechsel auf Sicherungsrechte hat.</w:t>
      </w:r>
    </w:p>
    <w:p>
      <w:pPr>
        <w:pStyle w:val="Heading2"/>
        <w:spacing w:after="120" w:before="240"/>
      </w:pPr>
      <w:r>
        <w:t xml:space="preserve">II. Gang der Untersuchung</w:t>
      </w:r>
    </w:p>
    <w:p>
      <w:pPr>
        <w:spacing w:after="120"/>
      </w:pPr>
      <w:r>
        <w:t xml:space="preserve">Die Arbeit gliedert sich in fünf Abschnitte. Nach einer Darstellung der kollisionsrechtlichen Grundlagen (B.) wird der Begriff des qualifizierten Statutenwechsels entwickelt. Anschließend werden die Auswirkungen auf bestehende Rechtsverhältnisse untersucht (C.), gefolgt von der Analyse konkreter Fallgruppen (D.) und einer Stellungnahme de lege ferenda (E.).</w:t>
      </w:r>
    </w:p>
    <w:p>
      <w:pPr>
        <w:pStyle w:val="Heading1"/>
        <w:spacing w:after="120" w:before="240"/>
      </w:pPr>
      <w:r>
        <w:t xml:space="preserve">B. Kollisionsrechtliche Grundlagen</w:t>
      </w:r>
    </w:p>
    <w:p>
      <w:pPr>
        <w:pStyle w:val="Heading2"/>
        <w:spacing w:after="120" w:before="240"/>
      </w:pPr>
      <w:r>
        <w:t xml:space="preserve">I. Das Vertragsstatut nach der Rom-I-VO</w:t>
      </w:r>
    </w:p>
    <w:p>
      <w:pPr>
        <w:spacing w:after="120"/>
      </w:pPr>
      <w:r>
        <w:t xml:space="preserve">Die Rom-I-VO gilt für vertragliche Schuldverhältnisse in Zivil- und Handelssachen, die eine Verbindung zum Recht verschiedener Staaten aufweisen (Art. 1 Abs. 1 Rom-I-VO). Sie verdrängt für ihren Anwendungsbereich die nationalen Kollisionsnormen, insbesondere das EGBGB.</w:t>
      </w:r>
    </w:p>
    <w:p>
      <w:pPr>
        <w:pStyle w:val="Heading2"/>
        <w:spacing w:after="120" w:before="240"/>
      </w:pPr>
      <w:r>
        <w:t xml:space="preserve">1. Rechtswahl nach Art. 3 Rom-I-VO</w:t>
      </w:r>
    </w:p>
    <w:p>
      <w:pPr>
        <w:spacing w:after="120"/>
      </w:pPr>
      <w:r>
        <w:t xml:space="preserve">Das Grundprinzip der Rom-I-VO ist die Parteiautonomie: Die Parteien können das auf ihren Vertrag anzuwendende Recht frei wählen (Art. 3 Abs. 1 S. 1 Rom-I-VO). Die Rechtswahl muss ausdrücklich erfolgen oder sich eindeutig aus den Bestimmungen des Vertrags oder den Umständen des Falles ergeben (Art. 3 Abs. 1 S. 2 Rom-I-VO).</w:t>
      </w:r>
    </w:p>
    <w:p>
      <w:pPr>
        <w:spacing w:after="120"/>
      </w:pPr>
      <w:r>
        <w:t xml:space="preserve">Art. 3 Abs. 2 S. 1 Rom-I-VO gestattet den Parteien ausdrücklich, die Rechtswahl nach Vertragsschluss zu ändern. Die Möglichkeit der nachträglichen Rechtswahl ist ein zentrales Element der Parteiautonomie und von erheblicher praktischer Bedeutung.</w:t>
      </w:r>
    </w:p>
    <w:p>
      <w:pPr>
        <w:pStyle w:val="Heading2"/>
        <w:spacing w:after="120" w:before="240"/>
      </w:pPr>
      <w:r>
        <w:t xml:space="preserve">2. Hilfsanknüpfung nach Art. 4 Rom-I-VO</w:t>
      </w:r>
    </w:p>
    <w:p>
      <w:pPr>
        <w:spacing w:after="120"/>
      </w:pPr>
      <w:r>
        <w:t xml:space="preserve">Fehlt eine Rechtswahl, bestimmt sich das anwendbare Recht nach Art. 4 Rom-I-VO. Art. 4 Abs. 1 Rom-I-VO enthält spezifische Anknüpfungsregeln für bestimmte Vertragstypen. Für nicht erfasste Vertragstypen gilt Art. 4 Abs. 2 Rom-I-VO (gewöhnlicher Aufenthalt der charakteristisch leistenden Partei). Art. 4 Abs. 3 Rom-I-VO enthält eine Ausweichklausel, wonach bei offensichtlich engerer Verbindung zu einem anderen Staat das Recht dieses Staates gilt.</w:t>
      </w:r>
    </w:p>
    <w:p>
      <w:pPr>
        <w:pStyle w:val="Heading2"/>
        <w:spacing w:after="120" w:before="240"/>
      </w:pPr>
      <w:r>
        <w:t xml:space="preserve">II. Begriff des Statutenwechsels</w:t>
      </w:r>
    </w:p>
    <w:p>
      <w:pPr>
        <w:spacing w:after="120"/>
      </w:pPr>
      <w:r>
        <w:t xml:space="preserve">Unter einem Statutenwechsel versteht man den Übergang von einer anwendbaren Rechtsordnung zur anderen während der Laufzeit eines Rechtsverhältnisses. Beim einfachen Statutenwechsel ändert sich nur das anwendbare Recht für zukünftige Handlungen; beim qualifizierten Statutenwechsel werden auch bereits entstandene Rechtspositionen beeinflusst.</w:t>
      </w:r>
    </w:p>
    <w:p>
      <w:pPr>
        <w:pStyle w:val="Heading1"/>
        <w:spacing w:after="120" w:before="240"/>
      </w:pPr>
      <w:r>
        <w:t xml:space="preserve">C. Auswirkungen des qualifizierten Statutenwechsels</w:t>
      </w:r>
    </w:p>
    <w:p>
      <w:pPr>
        <w:pStyle w:val="Heading2"/>
        <w:spacing w:after="120" w:before="240"/>
      </w:pPr>
      <w:r>
        <w:t xml:space="preserve">I. Wirkung auf bestehende Vertragspflichten</w:t>
      </w:r>
    </w:p>
    <w:p>
      <w:pPr>
        <w:spacing w:after="120"/>
      </w:pPr>
      <w:r>
        <w:t xml:space="preserve">Nach Art. 3 Abs. 2 S. 1 Rom-I-VO berührt eine nachträgliche Rechtswahlbedingung grundsätzlich die formelle Gültigkeit des Vertrags nicht. Für die Beurteilung materieller Wirkungen auf bereits entstandene Pflichten ist entscheidend, ob das neue Statut retrospektiv angewendet werden soll.</w:t>
      </w:r>
    </w:p>
    <w:p>
      <w:pPr>
        <w:pStyle w:val="Heading2"/>
        <w:spacing w:after="120" w:before="240"/>
      </w:pPr>
      <w:r>
        <w:t xml:space="preserve">II. Schutz wohlerworbener Rechte Dritter (Art. 3 Abs. 2 S. 2 Rom-I-VO)</w:t>
      </w:r>
    </w:p>
    <w:p>
      <w:pPr>
        <w:spacing w:after="120"/>
      </w:pPr>
      <w:r>
        <w:t xml:space="preserve">Art. 3 Abs. 2 S. 2 Rom-I-VO bestimmt, dass die nachträgliche Rechtswahl die Rechte Dritter nicht beeinträchtigen darf. Der Begriff der „wohlerworbenen Rechte" (droits acquis) ist europäisch-autonom auszulegen. Er umfasst solche Rechtspositionen, die Dritte aufgrund des ursprünglichen Vertragsstatuts erworben haben und die nach Treu und Glauben schutzwürdig sind.</w:t>
      </w:r>
    </w:p>
    <w:p>
      <w:pPr>
        <w:spacing w:after="120"/>
      </w:pPr>
      <w:r>
        <w:t xml:space="preserve">In der Praxis bedeutsam ist insbesondere der Fall der Forderungsabtretung: Hat ein Zessionar eine Forderung unter dem ursprünglichen Recht erworben, kann die nachträgliche Rechtswahländerung seine erworbene Gläubigerposition nicht beseitigen.</w:t>
      </w:r>
    </w:p>
    <w:p>
      <w:pPr>
        <w:pStyle w:val="Heading1"/>
        <w:spacing w:after="120" w:before="240"/>
      </w:pPr>
      <w:r>
        <w:t xml:space="preserve">D. Fallgruppen</w:t>
      </w:r>
    </w:p>
    <w:p>
      <w:pPr>
        <w:pStyle w:val="Heading2"/>
        <w:spacing w:after="120" w:before="240"/>
      </w:pPr>
      <w:r>
        <w:t xml:space="preserve">I. Internationaler Warenkauf mit nachträglicher Rechtswahlklausel</w:t>
      </w:r>
    </w:p>
    <w:p>
      <w:pPr>
        <w:spacing w:after="120"/>
      </w:pPr>
      <w:r>
        <w:t xml:space="preserve">Typischerweise vereinbaren Parteien eines internationalen Warenkaufs zunächst das Recht des Verkäuferstaates (vgl. Art. 4 Abs. 1 lit. a Rom-I-VO) und ändern die Rechtswahl später zugunsten eines dritten Rechts. Drittgläubiger, die unter dem ursprünglichen Recht Sicherungsrechte erworben haben, sind nach Art. 3 Abs. 2 S. 2 Rom-I-VO geschützt.</w:t>
      </w:r>
    </w:p>
    <w:p>
      <w:pPr>
        <w:pStyle w:val="Heading2"/>
        <w:spacing w:after="120" w:before="240"/>
      </w:pPr>
      <w:r>
        <w:t xml:space="preserve">II. Sicherungsübereignung und Statutenwechsel</w:t>
      </w:r>
    </w:p>
    <w:p>
      <w:pPr>
        <w:spacing w:after="120"/>
      </w:pPr>
      <w:r>
        <w:t xml:space="preserve">Besondere Probleme entstehen, wenn mit der nachträglichen Rechtswahl auch eine Verlegung des Schuldnersitzes verbunden ist. In solchen Fällen kann zusätzlich Art. 43 EGBGB (Neubelegenheit beweglicher Sachen) einschlägig sein, der einen eigenständigen sachenrechtlichen Statutenwechsel vorsieht.</w:t>
      </w:r>
    </w:p>
    <w:p>
      <w:pPr>
        <w:pStyle w:val="Heading1"/>
        <w:spacing w:after="120" w:before="240"/>
      </w:pPr>
      <w:r>
        <w:t xml:space="preserve">E. Stellungnahme und Ergebnis</w:t>
      </w:r>
    </w:p>
    <w:p>
      <w:pPr>
        <w:spacing w:after="120"/>
      </w:pPr>
      <w:r>
        <w:t xml:space="preserve">Die Regelung des Art. 3 Abs. 2 S. 2 Rom-I-VO ist zu begrüßen, da sie den Vertrauensschutz Dritter sichert. Kritisch anzumerken ist jedoch, dass der Begriff der „wohlerworbenen Rechte" einer weiteren Konkretisierung durch den EuGH bedarf. Die Ausweichklausel des Art. 4 Abs. 3 Rom-I-VO kann nicht herangezogen werden, um eine nachträgliche Rechtswahländerung zu korrigieren; sie ist auf die ursprüngliche Anknüpfungsphase beschränkt.</w:t>
      </w:r>
    </w:p>
    <w:p>
      <w:pPr>
        <w:spacing w:after="120"/>
      </w:pPr>
      <w:r>
        <w:t xml:space="preserve">De lege ferenda wäre eine explizite Definition der wohlerworbenen Rechte in der Verordnung wünschenswert, um Rechtssicherheit zu schaffen.</w:t>
      </w:r>
    </w:p>
    <w:p>
      <w:pPr>
        <w:pStyle w:val="Heading1"/>
        <w:spacing w:after="120" w:before="240"/>
      </w:pPr>
      <w:r>
        <w:t xml:space="preserve">F. Zusammenfassung</w:t>
      </w:r>
    </w:p>
    <w:p>
      <w:pPr>
        <w:spacing w:after="120"/>
      </w:pPr>
      <w:r>
        <w:t xml:space="preserve">1. Die Rom-I-VO gestattet in Art. 3 Abs. 2 S. 1 ausdrücklich die nachträgliche Änderung des Vertragsstatuts.</w:t>
      </w:r>
    </w:p>
    <w:p>
      <w:pPr>
        <w:spacing w:after="120"/>
      </w:pPr>
      <w:r>
        <w:t xml:space="preserve">2. Art. 3 Abs. 2 S. 2 schützt wohlerworbene Rechte Dritter vor den Auswirkungen des Statutenwechsels. Der Begriff ist europäisch-autonom auszulegen.</w:t>
      </w:r>
    </w:p>
    <w:p>
      <w:pPr>
        <w:spacing w:after="120"/>
      </w:pPr>
      <w:r>
        <w:t xml:space="preserve">3. Die Ausweichklausel des Art. 4 Abs. 3 Rom-I-VO kommt bei nachträglichem Statutenwechsel nicht zur Anwendung.</w:t>
      </w:r>
    </w:p>
    <w:p>
      <w:pPr>
        <w:spacing w:after="120"/>
      </w:pPr>
      <w:r>
        <w:t xml:space="preserve">4. Praktisch bedeutsam sind insbesondere Abtretungs- und Sicherungsübereignungskonstellationen.</w:t>
      </w:r>
    </w:p>
    <w:p>
      <w:pPr>
        <w:pStyle w:val="Heading1"/>
        <w:spacing w:after="120" w:before="240"/>
      </w:pPr>
      <w:r>
        <w:t xml:space="preserve">Literaturverzeichnis</w:t>
      </w:r>
    </w:p>
    <w:p>
      <w:pPr>
        <w:spacing w:after="120"/>
      </w:pPr>
      <w:r>
        <w:t xml:space="preserve">Grüneberg, Christian (Hrsg.): Palandt, Bürgerliches Gesetzbuch, 82. Aufl. München 2023.</w:t>
      </w:r>
    </w:p>
    <w:p>
      <w:pPr>
        <w:spacing w:after="120"/>
      </w:pPr>
      <w:r>
        <w:t xml:space="preserve">Martiny, Dieter: in: Münchener Kommentar zum BGB, Bd. 13 (IPR), 8. Aufl. München 2021, Art. 3 Rom-I-VO.</w:t>
      </w:r>
    </w:p>
    <w:p>
      <w:pPr>
        <w:spacing w:after="120"/>
      </w:pPr>
      <w:r>
        <w:t xml:space="preserve">Rauscher, Thomas (Hrsg.): Europäisches Zivilprozess- und Kollisionsrecht, Bd. 3 (Rom-I-VO), 4. Aufl. Köln 2016.</w:t>
      </w:r>
    </w:p>
    <w:p>
      <w:pPr>
        <w:spacing w:after="120"/>
      </w:pPr>
      <w:r>
        <w:t xml:space="preserve">Rom-I-VO (VO (EG) Nr. 593/2008): https://eur-lex.europa.eu/legal-content/DE/TXT/?uri=CELEX:32008R0593</w:t>
      </w:r>
    </w:p>
    <w:p>
      <w:pPr>
        <w:spacing w:after="120"/>
      </w:pPr>
      <w:r>
        <w:t xml:space="preserve">EGBGB: https://dejure.org/gesetze/EGBGB</w:t>
      </w:r>
    </w:p>
    <w:p>
      <w:pPr>
        <w:spacing w:after="120"/>
      </w:pPr>
      <w:r>
        <w:t xml:space="preserve">EuGH, Rs. C-135/15 (Nikiforidis), Urteil v. 18.10.2016, ECLI:EU:C:2016:774.</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IPR-Hausarbeit v3 Endfassung — Roosendaal-Tinnefeld</dc:title>
  <dc:creator>Perplexity Computer</dc:creator>
  <dc:description>Schwerpunkthausarbeit Internationales Privatrecht, Prof. Dr. Witzleben, Uni Bonn</dc:description>
  <cp:lastModifiedBy>Un-named</cp:lastModifiedBy>
  <cp:revision>1</cp:revision>
  <dcterms:created xsi:type="dcterms:W3CDTF">2026-05-30T19:03:39.499Z</dcterms:created>
  <dcterms:modified xsi:type="dcterms:W3CDTF">2026-05-30T19:03:39.499Z</dcterms:modified>
</cp:coreProperties>
</file>

<file path=docProps/custom.xml><?xml version="1.0" encoding="utf-8"?>
<Properties xmlns="http://schemas.openxmlformats.org/officeDocument/2006/custom-properties" xmlns:vt="http://schemas.openxmlformats.org/officeDocument/2006/docPropsVTypes"/>
</file>