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rFonts w:ascii="Calibri" w:cs="Calibri" w:eastAsia="Calibri" w:hAnsi="Calibri"/>
          <w:b/>
          <w:bCs/>
          <w:color w:val="2D2D2D"/>
          <w:sz w:val="36"/>
          <w:szCs w:val="36"/>
        </w:rPr>
        <w:t xml:space="preserve">GESELLSCHAFTSVERTRAG</w:t>
      </w:r>
    </w:p>
    <w:p>
      <w:pPr>
        <w:spacing w:after="100"/>
        <w:jc w:val="center"/>
      </w:pPr>
      <w:r>
        <w:rPr>
          <w:rFonts w:ascii="Calibri" w:cs="Calibri" w:eastAsia="Calibri" w:hAnsi="Calibri"/>
          <w:i/>
          <w:iCs/>
          <w:sz w:val="26"/>
          <w:szCs w:val="26"/>
        </w:rPr>
        <w:t xml:space="preserve">der Eckermann Friedrich Sandhof Rechtsanwaltsgesellschaft mbH</w:t>
      </w:r>
    </w:p>
    <w:p>
      <w:pPr>
        <w:spacing w:after="400"/>
        <w:jc w:val="center"/>
      </w:pPr>
      <w:r>
        <w:rPr>
          <w:rFonts w:ascii="Calibri" w:cs="Calibri" w:eastAsia="Calibri" w:hAnsi="Calibri"/>
          <w:color w:val="7A7974"/>
          <w:sz w:val="20"/>
          <w:szCs w:val="20"/>
        </w:rPr>
        <w:t xml:space="preserve">Beurkundung: 28. März 2026 — Notar Dr. Hermann Küppers, Aachen</w:t>
      </w:r>
    </w:p>
    <w:p>
      <w:pPr>
        <w:pStyle w:val="Heading1"/>
        <w:spacing w:after="200" w:before="400"/>
      </w:pPr>
      <w:r>
        <w:t xml:space="preserve">§ 1 Firma und Sitz</w:t>
      </w:r>
    </w:p>
    <w:p>
      <w:pPr>
        <w:spacing w:after="160"/>
      </w:pPr>
      <w:r>
        <w:rPr>
          <w:rFonts w:ascii="Calibri" w:cs="Calibri" w:eastAsia="Calibri" w:hAnsi="Calibri"/>
          <w:sz w:val="22"/>
          <w:szCs w:val="22"/>
        </w:rPr>
        <w:t xml:space="preserve">(1) Die Gesellschaft führt die Firma: Eckermann Friedrich Sandhof Rechtsanwaltsgesellschaft mbH.</w:t>
      </w:r>
    </w:p>
    <w:p>
      <w:pPr>
        <w:spacing w:after="160"/>
      </w:pPr>
      <w:r>
        <w:rPr>
          <w:rFonts w:ascii="Calibri" w:cs="Calibri" w:eastAsia="Calibri" w:hAnsi="Calibri"/>
          <w:sz w:val="22"/>
          <w:szCs w:val="22"/>
        </w:rPr>
        <w:t xml:space="preserve">(2) Sitz der Gesellschaft ist Aachen.</w:t>
      </w:r>
    </w:p>
    <w:p>
      <w:pPr>
        <w:spacing w:after="160"/>
      </w:pPr>
      <w:r>
        <w:rPr>
          <w:rFonts w:ascii="Calibri" w:cs="Calibri" w:eastAsia="Calibri" w:hAnsi="Calibri"/>
          <w:sz w:val="22"/>
          <w:szCs w:val="22"/>
        </w:rPr>
        <w:t xml:space="preserve">(3) Die Gesellschaft ist eine Rechtsanwaltsgesellschaft im Sinne der §§ 59c ff. BRAO und beim Deutschen Patent- und Markenamt unter der Markenanmeldung 30 2026 123 456 geführt.</w:t>
      </w:r>
    </w:p>
    <w:p>
      <w:pPr>
        <w:pStyle w:val="Heading1"/>
        <w:spacing w:after="200" w:before="400"/>
      </w:pPr>
      <w:r>
        <w:t xml:space="preserve">§ 2 Gegenstand der Gesellschaft</w:t>
      </w:r>
    </w:p>
    <w:p>
      <w:pPr>
        <w:spacing w:after="160"/>
      </w:pPr>
      <w:r>
        <w:rPr>
          <w:rFonts w:ascii="Calibri" w:cs="Calibri" w:eastAsia="Calibri" w:hAnsi="Calibri"/>
          <w:sz w:val="22"/>
          <w:szCs w:val="22"/>
        </w:rPr>
        <w:t xml:space="preserve">(1) Gegenstand der Gesellschaft ist die Ausübung der Rechtsanwaltschaft sowie damit im Zusammenhang stehende Tätigkeiten, insbesondere steuerberatende Tätigkeiten soweit berufsrechtlich zulässig.</w:t>
      </w:r>
    </w:p>
    <w:p>
      <w:pPr>
        <w:spacing w:after="160"/>
      </w:pPr>
      <w:r>
        <w:rPr>
          <w:rFonts w:ascii="Calibri" w:cs="Calibri" w:eastAsia="Calibri" w:hAnsi="Calibri"/>
          <w:sz w:val="22"/>
          <w:szCs w:val="22"/>
        </w:rPr>
        <w:t xml:space="preserve">(2) Die Gesellschaft ist berechtigt, Zweigniederlassungen zu errichten und sich an anderen Gesellschaften zu beteiligen, sofern dies dem Gegenstand der Gesellschaft dient.</w:t>
      </w:r>
    </w:p>
    <w:p>
      <w:pPr>
        <w:pStyle w:val="Heading1"/>
        <w:spacing w:after="200" w:before="400"/>
      </w:pPr>
      <w:r>
        <w:t xml:space="preserve">§ 3 Stammkapital und Geschäftsanteile</w:t>
      </w:r>
    </w:p>
    <w:p>
      <w:pPr>
        <w:spacing w:after="160"/>
      </w:pPr>
      <w:r>
        <w:rPr>
          <w:rFonts w:ascii="Calibri" w:cs="Calibri" w:eastAsia="Calibri" w:hAnsi="Calibri"/>
          <w:sz w:val="22"/>
          <w:szCs w:val="22"/>
        </w:rPr>
        <w:t xml:space="preserve">(1) Das Stammkapital der Gesellschaft beträgt EUR 25.000,00 (in Worten: fünfundzwanzigtausend Euro).</w:t>
      </w:r>
    </w:p>
    <w:p>
      <w:pPr>
        <w:spacing w:after="160"/>
      </w:pPr>
      <w:r>
        <w:rPr>
          <w:rFonts w:ascii="Calibri" w:cs="Calibri" w:eastAsia="Calibri" w:hAnsi="Calibri"/>
          <w:sz w:val="22"/>
          <w:szCs w:val="22"/>
        </w:rPr>
        <w:t xml:space="preserve">(2) Das Stammkapital ist eingeteilt in 100 Geschäftsanteile zu je EUR 250,00.</w:t>
      </w:r>
    </w:p>
    <w:p>
      <w:pPr>
        <w:spacing w:after="160"/>
      </w:pPr>
      <w:r>
        <w:rPr>
          <w:rFonts w:ascii="Calibri" w:cs="Calibri" w:eastAsia="Calibri" w:hAnsi="Calibri"/>
          <w:sz w:val="22"/>
          <w:szCs w:val="22"/>
        </w:rPr>
        <w:t xml:space="preserve">(3) Die Gesellschafter übernehmen folgende Geschäftsanteile: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rPr>
          <w:tblHeader/>
        </w:trPr>
        <w:tc>
          <w:tcPr>
            <w:shd w:fill="D4D1CA"/>
          </w:tcPr>
          <w:p>
            <w:pPr>
              <w:jc w:val="center"/>
            </w:pPr>
            <w:r>
              <w:rPr>
                <w:rFonts w:ascii="Calibri" w:cs="Calibri" w:eastAsia="Calibri" w:hAnsi="Calibri"/>
                <w:b/>
                <w:bCs/>
                <w:sz w:val="20"/>
                <w:szCs w:val="20"/>
              </w:rPr>
              <w:t xml:space="preserve">Gesellschafterin/Gesellschafter</w:t>
            </w:r>
          </w:p>
        </w:tc>
        <w:tc>
          <w:tcPr>
            <w:shd w:fill="D4D1CA"/>
          </w:tcPr>
          <w:p>
            <w:pPr>
              <w:jc w:val="center"/>
            </w:pPr>
            <w:r>
              <w:rPr>
                <w:rFonts w:ascii="Calibri" w:cs="Calibri" w:eastAsia="Calibri" w:hAnsi="Calibri"/>
                <w:b/>
                <w:bCs/>
                <w:sz w:val="20"/>
                <w:szCs w:val="20"/>
              </w:rPr>
              <w:t xml:space="preserve">Anzahl Anteile</w:t>
            </w:r>
          </w:p>
        </w:tc>
        <w:tc>
          <w:tcPr>
            <w:shd w:fill="D4D1CA"/>
          </w:tcPr>
          <w:p>
            <w:pPr>
              <w:jc w:val="center"/>
            </w:pPr>
            <w:r>
              <w:rPr>
                <w:rFonts w:ascii="Calibri" w:cs="Calibri" w:eastAsia="Calibri" w:hAnsi="Calibri"/>
                <w:b/>
                <w:bCs/>
                <w:sz w:val="20"/>
                <w:szCs w:val="20"/>
              </w:rPr>
              <w:t xml:space="preserve">Nennbetrag (EUR)</w:t>
            </w:r>
          </w:p>
        </w:tc>
        <w:tc>
          <w:tcPr>
            <w:shd w:fill="D4D1CA"/>
          </w:tcPr>
          <w:p>
            <w:pPr>
              <w:jc w:val="center"/>
            </w:pPr>
            <w:r>
              <w:rPr>
                <w:rFonts w:ascii="Calibri" w:cs="Calibri" w:eastAsia="Calibri" w:hAnsi="Calibri"/>
                <w:b/>
                <w:bCs/>
                <w:sz w:val="20"/>
                <w:szCs w:val="20"/>
              </w:rPr>
              <w:t xml:space="preserve">Anteil (%)</w:t>
            </w:r>
          </w:p>
        </w:tc>
      </w:tr>
      <w:tr>
        <w:tc>
          <w:p>
            <w:pPr>
              <w:jc w:val="left"/>
            </w:pPr>
            <w:r>
              <w:rPr>
                <w:rFonts w:ascii="Calibri" w:cs="Calibri" w:eastAsia="Calibri" w:hAnsi="Calibri"/>
                <w:sz w:val="20"/>
                <w:szCs w:val="20"/>
              </w:rPr>
              <w:t xml:space="preserve">Dr. Hilke Eckermann, geb. 14.03.1979</w:t>
            </w:r>
          </w:p>
        </w:tc>
        <w:tc>
          <w:p>
            <w:pPr>
              <w:jc w:val="left"/>
            </w:pPr>
            <w:r>
              <w:rPr>
                <w:rFonts w:ascii="Calibri" w:cs="Calibri" w:eastAsia="Calibri" w:hAnsi="Calibri"/>
                <w:sz w:val="20"/>
                <w:szCs w:val="20"/>
              </w:rPr>
              <w:t xml:space="preserve">40</w:t>
            </w:r>
          </w:p>
        </w:tc>
        <w:tc>
          <w:p>
            <w:pPr>
              <w:jc w:val="left"/>
            </w:pPr>
            <w:r>
              <w:rPr>
                <w:rFonts w:ascii="Calibri" w:cs="Calibri" w:eastAsia="Calibri" w:hAnsi="Calibri"/>
                <w:sz w:val="20"/>
                <w:szCs w:val="20"/>
              </w:rPr>
              <w:t xml:space="preserve">10.000</w:t>
            </w:r>
          </w:p>
        </w:tc>
        <w:tc>
          <w:p>
            <w:pPr>
              <w:jc w:val="left"/>
            </w:pPr>
            <w:r>
              <w:rPr>
                <w:rFonts w:ascii="Calibri" w:cs="Calibri" w:eastAsia="Calibri" w:hAnsi="Calibri"/>
                <w:sz w:val="20"/>
                <w:szCs w:val="20"/>
              </w:rPr>
              <w:t xml:space="preserve">40 %</w:t>
            </w:r>
          </w:p>
        </w:tc>
      </w:tr>
      <w:tr>
        <w:tc>
          <w:p>
            <w:pPr>
              <w:jc w:val="left"/>
            </w:pPr>
            <w:r>
              <w:rPr>
                <w:rFonts w:ascii="Calibri" w:cs="Calibri" w:eastAsia="Calibri" w:hAnsi="Calibri"/>
                <w:sz w:val="20"/>
                <w:szCs w:val="20"/>
              </w:rPr>
              <w:t xml:space="preserve">Dr. Matthias Friedrich, geb. 07.11.1977</w:t>
            </w:r>
          </w:p>
        </w:tc>
        <w:tc>
          <w:p>
            <w:pPr>
              <w:jc w:val="left"/>
            </w:pPr>
            <w:r>
              <w:rPr>
                <w:rFonts w:ascii="Calibri" w:cs="Calibri" w:eastAsia="Calibri" w:hAnsi="Calibri"/>
                <w:sz w:val="20"/>
                <w:szCs w:val="20"/>
              </w:rPr>
              <w:t xml:space="preserve">40</w:t>
            </w:r>
          </w:p>
        </w:tc>
        <w:tc>
          <w:p>
            <w:pPr>
              <w:jc w:val="left"/>
            </w:pPr>
            <w:r>
              <w:rPr>
                <w:rFonts w:ascii="Calibri" w:cs="Calibri" w:eastAsia="Calibri" w:hAnsi="Calibri"/>
                <w:sz w:val="20"/>
                <w:szCs w:val="20"/>
              </w:rPr>
              <w:t xml:space="preserve">10.000</w:t>
            </w:r>
          </w:p>
        </w:tc>
        <w:tc>
          <w:p>
            <w:pPr>
              <w:jc w:val="left"/>
            </w:pPr>
            <w:r>
              <w:rPr>
                <w:rFonts w:ascii="Calibri" w:cs="Calibri" w:eastAsia="Calibri" w:hAnsi="Calibri"/>
                <w:sz w:val="20"/>
                <w:szCs w:val="20"/>
              </w:rPr>
              <w:t xml:space="preserve">40 %</w:t>
            </w:r>
          </w:p>
        </w:tc>
      </w:tr>
      <w:tr>
        <w:tc>
          <w:p>
            <w:pPr>
              <w:jc w:val="left"/>
            </w:pPr>
            <w:r>
              <w:rPr>
                <w:rFonts w:ascii="Calibri" w:cs="Calibri" w:eastAsia="Calibri" w:hAnsi="Calibri"/>
                <w:sz w:val="20"/>
                <w:szCs w:val="20"/>
              </w:rPr>
              <w:t xml:space="preserve">Dr. Volker Sandhof, geb. 22.08.1981</w:t>
            </w:r>
          </w:p>
        </w:tc>
        <w:tc>
          <w:p>
            <w:pPr>
              <w:jc w:val="left"/>
            </w:pPr>
            <w:r>
              <w:rPr>
                <w:rFonts w:ascii="Calibri" w:cs="Calibri" w:eastAsia="Calibri" w:hAnsi="Calibri"/>
                <w:sz w:val="20"/>
                <w:szCs w:val="20"/>
              </w:rPr>
              <w:t xml:space="preserve">20</w:t>
            </w:r>
          </w:p>
        </w:tc>
        <w:tc>
          <w:p>
            <w:pPr>
              <w:jc w:val="left"/>
            </w:pPr>
            <w:r>
              <w:rPr>
                <w:rFonts w:ascii="Calibri" w:cs="Calibri" w:eastAsia="Calibri" w:hAnsi="Calibri"/>
                <w:sz w:val="20"/>
                <w:szCs w:val="20"/>
              </w:rPr>
              <w:t xml:space="preserve">5.000</w:t>
            </w:r>
          </w:p>
        </w:tc>
        <w:tc>
          <w:p>
            <w:pPr>
              <w:jc w:val="left"/>
            </w:pPr>
            <w:r>
              <w:rPr>
                <w:rFonts w:ascii="Calibri" w:cs="Calibri" w:eastAsia="Calibri" w:hAnsi="Calibri"/>
                <w:sz w:val="20"/>
                <w:szCs w:val="20"/>
              </w:rPr>
              <w:t xml:space="preserve">20 %</w:t>
            </w:r>
          </w:p>
        </w:tc>
      </w:tr>
      <w:tr>
        <w:tc>
          <w:p>
            <w:pPr>
              <w:jc w:val="left"/>
            </w:pPr>
            <w:r>
              <w:rPr>
                <w:rFonts w:ascii="Calibri" w:cs="Calibri" w:eastAsia="Calibri" w:hAnsi="Calibri"/>
                <w:sz w:val="20"/>
                <w:szCs w:val="20"/>
              </w:rPr>
              <w:t xml:space="preserve">Gesamt</w:t>
            </w:r>
          </w:p>
        </w:tc>
        <w:tc>
          <w:p>
            <w:pPr>
              <w:jc w:val="left"/>
            </w:pPr>
            <w:r>
              <w:rPr>
                <w:rFonts w:ascii="Calibri" w:cs="Calibri" w:eastAsia="Calibri" w:hAnsi="Calibri"/>
                <w:sz w:val="20"/>
                <w:szCs w:val="20"/>
              </w:rPr>
              <w:t xml:space="preserve">100</w:t>
            </w:r>
          </w:p>
        </w:tc>
        <w:tc>
          <w:p>
            <w:pPr>
              <w:jc w:val="left"/>
            </w:pPr>
            <w:r>
              <w:rPr>
                <w:rFonts w:ascii="Calibri" w:cs="Calibri" w:eastAsia="Calibri" w:hAnsi="Calibri"/>
                <w:sz w:val="20"/>
                <w:szCs w:val="20"/>
              </w:rPr>
              <w:t xml:space="preserve">25.000</w:t>
            </w:r>
          </w:p>
        </w:tc>
        <w:tc>
          <w:p>
            <w:pPr>
              <w:jc w:val="left"/>
            </w:pPr>
            <w:r>
              <w:rPr>
                <w:rFonts w:ascii="Calibri" w:cs="Calibri" w:eastAsia="Calibri" w:hAnsi="Calibri"/>
                <w:sz w:val="20"/>
                <w:szCs w:val="20"/>
              </w:rPr>
              <w:t xml:space="preserve">100 %</w:t>
            </w:r>
          </w:p>
        </w:tc>
      </w:tr>
    </w:tbl>
    <w:p>
      <w:pPr>
        <w:spacing w:after="200"/>
      </w:pPr>
    </w:p>
    <w:p>
      <w:pPr>
        <w:spacing w:after="160"/>
      </w:pPr>
      <w:r>
        <w:rPr>
          <w:rFonts w:ascii="Calibri" w:cs="Calibri" w:eastAsia="Calibri" w:hAnsi="Calibri"/>
          <w:sz w:val="22"/>
          <w:szCs w:val="22"/>
        </w:rPr>
        <w:t xml:space="preserve">(4) Die Einlagen sind vollständig in bar auf das Konto der Gesellschaft einzuzahlen.</w:t>
      </w:r>
    </w:p>
    <w:p>
      <w:pPr>
        <w:pStyle w:val="Heading1"/>
        <w:spacing w:after="200" w:before="400"/>
      </w:pPr>
      <w:r>
        <w:t xml:space="preserve">§ 4 Berufszulassung und berufsrechtliche Anforderungen</w:t>
      </w:r>
    </w:p>
    <w:p>
      <w:pPr>
        <w:spacing w:after="160"/>
      </w:pPr>
      <w:r>
        <w:rPr>
          <w:rFonts w:ascii="Calibri" w:cs="Calibri" w:eastAsia="Calibri" w:hAnsi="Calibri"/>
          <w:sz w:val="22"/>
          <w:szCs w:val="22"/>
        </w:rPr>
        <w:t xml:space="preserve">(1) Die Gesellschaft muss die Voraussetzungen der §§ 59c ff. BRAO erfüllen. Mehrheit der Geschäftsanteile und Stimmrechte müssen bei Rechtsanwältinnen und Rechtsanwälten liegen.</w:t>
      </w:r>
    </w:p>
    <w:p>
      <w:pPr>
        <w:spacing w:after="160"/>
      </w:pPr>
      <w:r>
        <w:rPr>
          <w:rFonts w:ascii="Calibri" w:cs="Calibri" w:eastAsia="Calibri" w:hAnsi="Calibri"/>
          <w:sz w:val="22"/>
          <w:szCs w:val="22"/>
        </w:rPr>
        <w:t xml:space="preserve">(2) Jeder Gesellschafter muss als Rechtsanwalt bei der Rechtsanwaltskammer Aachen zugelassen sein. Erlischt die Zulassung eines Gesellschafters, hat er seine Beteiligung innerhalb von sechs Monaten auf eine zulässige Person zu übertragen.</w:t>
      </w:r>
    </w:p>
    <w:p>
      <w:pPr>
        <w:spacing w:after="160"/>
      </w:pPr>
      <w:r>
        <w:rPr>
          <w:rFonts w:ascii="Calibri" w:cs="Calibri" w:eastAsia="Calibri" w:hAnsi="Calibri"/>
          <w:sz w:val="22"/>
          <w:szCs w:val="22"/>
        </w:rPr>
        <w:t xml:space="preserve">(3) Die Gesellschaft unterhält eine Berufshaftpflichtversicherung gemäß § 59j BRAO mit einer Mindestversicherungssumme von 2.500.000 EUR je Schadensfall.</w:t>
      </w:r>
    </w:p>
    <w:p>
      <w:pPr>
        <w:pStyle w:val="Heading1"/>
        <w:spacing w:after="200" w:before="400"/>
      </w:pPr>
      <w:r>
        <w:t xml:space="preserve">§ 5 Geschäftsführung und Vertretung</w:t>
      </w:r>
    </w:p>
    <w:p>
      <w:pPr>
        <w:spacing w:after="160"/>
      </w:pPr>
      <w:r>
        <w:rPr>
          <w:rFonts w:ascii="Calibri" w:cs="Calibri" w:eastAsia="Calibri" w:hAnsi="Calibri"/>
          <w:sz w:val="22"/>
          <w:szCs w:val="22"/>
        </w:rPr>
        <w:t xml:space="preserve">(1) Die Gesellschaft wird durch ihre Geschäftsführerinnen und Geschäftsführer vertreten. Alle Gesellschafter sind zu Geschäftsführerinnen und Geschäftsführern bestellt.</w:t>
      </w:r>
    </w:p>
    <w:p>
      <w:pPr>
        <w:spacing w:after="160"/>
      </w:pPr>
      <w:r>
        <w:rPr>
          <w:rFonts w:ascii="Calibri" w:cs="Calibri" w:eastAsia="Calibri" w:hAnsi="Calibri"/>
          <w:sz w:val="22"/>
          <w:szCs w:val="22"/>
        </w:rPr>
        <w:t xml:space="preserve">(2) Jeder Geschäftsführer ist allein vertretungsberechtigt, soweit der Wert des Rechtsgeschäfts EUR 10.000,00 nicht übersteigt. Für Rechtsgeschäfte über EUR 10.000,00 ist Gesamtvertretung durch mindestens zwei Geschäftsführer erforderlich.</w:t>
      </w:r>
    </w:p>
    <w:p>
      <w:pPr>
        <w:spacing w:after="160"/>
      </w:pPr>
      <w:r>
        <w:rPr>
          <w:rFonts w:ascii="Calibri" w:cs="Calibri" w:eastAsia="Calibri" w:hAnsi="Calibri"/>
          <w:sz w:val="22"/>
          <w:szCs w:val="22"/>
        </w:rPr>
        <w:t xml:space="preserve">(3) Für folgende Geschäfte ist die Zustimmung aller Gesellschafter erforderlich: Aufnahme neuer Gesellschafter, Satzungsänderungen, Investitionen über EUR 25.000,00, Abschluss von Mietverträgen, Aufnahme von Fremdkapital über EUR 10.000,00.</w:t>
      </w:r>
    </w:p>
    <w:p>
      <w:pPr>
        <w:pStyle w:val="Heading1"/>
        <w:spacing w:after="200" w:before="400"/>
      </w:pPr>
      <w:r>
        <w:t xml:space="preserve">§ 6 Gesellschafterversammlung</w:t>
      </w:r>
    </w:p>
    <w:p>
      <w:pPr>
        <w:spacing w:after="160"/>
      </w:pPr>
      <w:r>
        <w:rPr>
          <w:rFonts w:ascii="Calibri" w:cs="Calibri" w:eastAsia="Calibri" w:hAnsi="Calibri"/>
          <w:sz w:val="22"/>
          <w:szCs w:val="22"/>
        </w:rPr>
        <w:t xml:space="preserve">(1) Die Gesellschafterversammlung tritt mindestens einmal jährlich zusammen (ordentliche Gesellschafterversammlung).</w:t>
      </w:r>
    </w:p>
    <w:p>
      <w:pPr>
        <w:spacing w:after="160"/>
      </w:pPr>
      <w:r>
        <w:rPr>
          <w:rFonts w:ascii="Calibri" w:cs="Calibri" w:eastAsia="Calibri" w:hAnsi="Calibri"/>
          <w:sz w:val="22"/>
          <w:szCs w:val="22"/>
        </w:rPr>
        <w:t xml:space="preserve">(2) Beschlüsse der Gesellschafterversammlung werden grundsätzlich mit einfacher Mehrheit der abgegebenen Stimmen gefasst, soweit Gesetz oder dieser Gesellschaftsvertrag nicht eine andere Mehrheit vorschreiben.</w:t>
      </w:r>
    </w:p>
    <w:p>
      <w:pPr>
        <w:spacing w:after="160"/>
      </w:pPr>
      <w:r>
        <w:rPr>
          <w:rFonts w:ascii="Calibri" w:cs="Calibri" w:eastAsia="Calibri" w:hAnsi="Calibri"/>
          <w:sz w:val="22"/>
          <w:szCs w:val="22"/>
        </w:rPr>
        <w:t xml:space="preserve">(3) Folgende Beschlüsse bedürfen der Einstimmigkeit: Änderungen dieses Gesellschaftsvertrags, Aufnahme neuer Gesellschafter, Auflösung der Gesellschaft.</w:t>
      </w:r>
    </w:p>
    <w:p>
      <w:pPr>
        <w:pStyle w:val="Heading1"/>
        <w:spacing w:after="200" w:before="400"/>
      </w:pPr>
      <w:r>
        <w:t xml:space="preserve">§ 7 Gewinnverteilung</w:t>
      </w:r>
    </w:p>
    <w:p>
      <w:pPr>
        <w:spacing w:after="160"/>
      </w:pPr>
      <w:r>
        <w:rPr>
          <w:rFonts w:ascii="Calibri" w:cs="Calibri" w:eastAsia="Calibri" w:hAnsi="Calibri"/>
          <w:sz w:val="22"/>
          <w:szCs w:val="22"/>
        </w:rPr>
        <w:t xml:space="preserve">(1) Der Jahresgewinn der Gesellschaft nach Abzug aller Kosten und Steuern wird wie folgt verteilt:</w:t>
      </w:r>
    </w:p>
    <w:p>
      <w:pPr>
        <w:spacing w:after="160"/>
      </w:pPr>
      <w:r>
        <w:rPr>
          <w:rFonts w:ascii="Calibri" w:cs="Calibri" w:eastAsia="Calibri" w:hAnsi="Calibri"/>
          <w:sz w:val="22"/>
          <w:szCs w:val="22"/>
        </w:rPr>
        <w:t xml:space="preserve">a) Vorab: Geschäftsführergehälter gemäß den jeweiligen Geschäftsführeranstellungsverträgen (Fixum EUR 110.000 p.a. für Eckermann und Friedrich, EUR 115.000 p.a. für Sandhof).</w:t>
      </w:r>
    </w:p>
    <w:p>
      <w:pPr>
        <w:spacing w:after="160"/>
      </w:pPr>
      <w:r>
        <w:rPr>
          <w:rFonts w:ascii="Calibri" w:cs="Calibri" w:eastAsia="Calibri" w:hAnsi="Calibri"/>
          <w:sz w:val="22"/>
          <w:szCs w:val="22"/>
        </w:rPr>
        <w:t xml:space="preserve">b) Sockelbeteiligung: 70 % des verbleibenden Jahresgewinns wird nach Maßgabe der Beteiligungsquoten verteilt (40/40/20 %).</w:t>
      </w:r>
    </w:p>
    <w:p>
      <w:pPr>
        <w:spacing w:after="160"/>
      </w:pPr>
      <w:r>
        <w:rPr>
          <w:rFonts w:ascii="Calibri" w:cs="Calibri" w:eastAsia="Calibri" w:hAnsi="Calibri"/>
          <w:sz w:val="22"/>
          <w:szCs w:val="22"/>
        </w:rPr>
        <w:t xml:space="preserve">c) Leistungspool: 30 % des verbleibenden Jahresgewinns wird nach Beschluss der Gesellschafterversammlung auf Basis von Umsatzbeitrag (50 %), Cross-Selling (30 %) und Qualitätsbeurteilung (20 %) verteilt.</w:t>
      </w:r>
    </w:p>
    <w:p>
      <w:pPr>
        <w:pStyle w:val="Heading1"/>
        <w:spacing w:after="200" w:before="400"/>
      </w:pPr>
      <w:r>
        <w:t xml:space="preserve">§ 8 Wettbewerbsverbot</w:t>
      </w:r>
    </w:p>
    <w:p>
      <w:pPr>
        <w:spacing w:after="160"/>
      </w:pPr>
      <w:r>
        <w:rPr>
          <w:rFonts w:ascii="Calibri" w:cs="Calibri" w:eastAsia="Calibri" w:hAnsi="Calibri"/>
          <w:sz w:val="22"/>
          <w:szCs w:val="22"/>
        </w:rPr>
        <w:t xml:space="preserve">(1) Jeder Gesellschafter verpflichtet sich, während seiner Mitgliedschaft keine eigene Anwaltspraxis oder Bürogemeinschaft zu betreiben, die in Wettbewerb zur Gesellschaft steht.</w:t>
      </w:r>
    </w:p>
    <w:p>
      <w:pPr>
        <w:spacing w:after="160"/>
      </w:pPr>
      <w:r>
        <w:rPr>
          <w:rFonts w:ascii="Calibri" w:cs="Calibri" w:eastAsia="Calibri" w:hAnsi="Calibri"/>
          <w:sz w:val="22"/>
          <w:szCs w:val="22"/>
        </w:rPr>
        <w:t xml:space="preserve">(2) Nach seinem Ausscheiden darf ein Gesellschafter für die Dauer von 12 Monaten innerhalb eines Umkreises von 20 km um den Kanzleisitz keine eigene Kanzlei in denselben Fachgebieten betreiben. Bei Verstoß wird eine Vertragsstrafe von EUR 50.000,00 je Verstoß fällig.</w:t>
      </w:r>
    </w:p>
    <w:p>
      <w:pPr>
        <w:pStyle w:val="Heading1"/>
        <w:spacing w:after="200" w:before="400"/>
      </w:pPr>
      <w:r>
        <w:t xml:space="preserve">§ 9 Ausscheiden und Abfindung</w:t>
      </w:r>
    </w:p>
    <w:p>
      <w:pPr>
        <w:spacing w:after="160"/>
      </w:pPr>
      <w:r>
        <w:rPr>
          <w:rFonts w:ascii="Calibri" w:cs="Calibri" w:eastAsia="Calibri" w:hAnsi="Calibri"/>
          <w:sz w:val="22"/>
          <w:szCs w:val="22"/>
        </w:rPr>
        <w:t xml:space="preserve">(1) Ein Gesellschafter kann durch ordentliche Kündigung mit einer Frist von 12 Monaten zum Jahresende ausscheiden.</w:t>
      </w:r>
    </w:p>
    <w:p>
      <w:pPr>
        <w:spacing w:after="160"/>
      </w:pPr>
      <w:r>
        <w:rPr>
          <w:rFonts w:ascii="Calibri" w:cs="Calibri" w:eastAsia="Calibri" w:hAnsi="Calibri"/>
          <w:sz w:val="22"/>
          <w:szCs w:val="22"/>
        </w:rPr>
        <w:t xml:space="preserve">(2) Die Abfindung eines ausscheidenden Gesellschafters berechnet sich nach dem Buchwert seines Gesellschaftsanteils zuzüglich des 0,8-fachen des durchschnittlichen Jahresumsatzes der letzten drei Geschäftsjahre, anteilig nach Beteiligungsquote. Auszahlung in 24 gleichen Monatsraten.</w:t>
      </w:r>
    </w:p>
    <w:p>
      <w:pPr>
        <w:pStyle w:val="Heading1"/>
        <w:spacing w:after="200" w:before="400"/>
      </w:pPr>
      <w:r>
        <w:t xml:space="preserve">§ 10 Schiedsklausel</w:t>
      </w:r>
    </w:p>
    <w:p>
      <w:pPr>
        <w:spacing w:after="160"/>
      </w:pPr>
      <w:r>
        <w:rPr>
          <w:rFonts w:ascii="Calibri" w:cs="Calibri" w:eastAsia="Calibri" w:hAnsi="Calibri"/>
          <w:sz w:val="22"/>
          <w:szCs w:val="22"/>
        </w:rPr>
        <w:t xml:space="preserve">Alle Streitigkeiten aus oder im Zusammenhang mit diesem Gesellschaftsvertrag werden unter Ausschluss des ordentlichen Rechtswegs durch ein Schiedsgericht nach den Regeln der Deutschen Institution für Schiedsgerichtsbarkeit (DIS) entschieden.</w:t>
      </w:r>
    </w:p>
    <w:p>
      <w:pPr>
        <w:spacing w:after="400"/>
      </w:pPr>
    </w:p>
    <w:p>
      <w:pPr>
        <w:spacing w:after="600"/>
      </w:pPr>
      <w:r>
        <w:rPr>
          <w:rFonts w:ascii="Calibri" w:cs="Calibri" w:eastAsia="Calibri" w:hAnsi="Calibri"/>
          <w:b/>
          <w:bCs/>
          <w:sz w:val="22"/>
          <w:szCs w:val="22"/>
        </w:rPr>
        <w:t xml:space="preserve">Aachen, 28. März 2026</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rPr>
          <w:tblHeader/>
        </w:trPr>
        <w:tc>
          <w:tcPr>
            <w:shd w:fill="D4D1CA"/>
          </w:tcPr>
          <w:p>
            <w:pPr>
              <w:jc w:val="center"/>
            </w:pPr>
            <w:r>
              <w:rPr>
                <w:rFonts w:ascii="Calibri" w:cs="Calibri" w:eastAsia="Calibri" w:hAnsi="Calibri"/>
                <w:b/>
                <w:bCs/>
                <w:sz w:val="20"/>
                <w:szCs w:val="20"/>
              </w:rPr>
              <w:t xml:space="preserve">Dr. Hilke Eckermann</w:t>
            </w:r>
          </w:p>
        </w:tc>
        <w:tc>
          <w:tcPr>
            <w:shd w:fill="D4D1CA"/>
          </w:tcPr>
          <w:p>
            <w:pPr>
              <w:jc w:val="center"/>
            </w:pPr>
            <w:r>
              <w:rPr>
                <w:rFonts w:ascii="Calibri" w:cs="Calibri" w:eastAsia="Calibri" w:hAnsi="Calibri"/>
                <w:b/>
                <w:bCs/>
                <w:sz w:val="20"/>
                <w:szCs w:val="20"/>
              </w:rPr>
              <w:t xml:space="preserve">Dr. Matthias Friedrich</w:t>
            </w:r>
          </w:p>
        </w:tc>
        <w:tc>
          <w:tcPr>
            <w:shd w:fill="D4D1CA"/>
          </w:tcPr>
          <w:p>
            <w:pPr>
              <w:jc w:val="center"/>
            </w:pPr>
            <w:r>
              <w:rPr>
                <w:rFonts w:ascii="Calibri" w:cs="Calibri" w:eastAsia="Calibri" w:hAnsi="Calibri"/>
                <w:b/>
                <w:bCs/>
                <w:sz w:val="20"/>
                <w:szCs w:val="20"/>
              </w:rPr>
              <w:t xml:space="preserve">Dr. Volker Sandhof</w:t>
            </w:r>
          </w:p>
        </w:tc>
      </w:tr>
      <w:tr>
        <w:tc>
          <w:p>
            <w:pPr>
              <w:jc w:val="left"/>
            </w:pPr>
            <w:r>
              <w:rPr>
                <w:rFonts w:ascii="Calibri" w:cs="Calibri" w:eastAsia="Calibri" w:hAnsi="Calibri"/>
                <w:sz w:val="20"/>
                <w:szCs w:val="20"/>
              </w:rPr>
              <w:t xml:space="preserve">____________________</w:t>
            </w:r>
          </w:p>
        </w:tc>
        <w:tc>
          <w:p>
            <w:pPr>
              <w:jc w:val="left"/>
            </w:pPr>
            <w:r>
              <w:rPr>
                <w:rFonts w:ascii="Calibri" w:cs="Calibri" w:eastAsia="Calibri" w:hAnsi="Calibri"/>
                <w:sz w:val="20"/>
                <w:szCs w:val="20"/>
              </w:rPr>
              <w:t xml:space="preserve">____________________</w:t>
            </w:r>
          </w:p>
        </w:tc>
        <w:tc>
          <w:p>
            <w:pPr>
              <w:jc w:val="left"/>
            </w:pPr>
            <w:r>
              <w:rPr>
                <w:rFonts w:ascii="Calibri" w:cs="Calibri" w:eastAsia="Calibri" w:hAnsi="Calibri"/>
                <w:sz w:val="20"/>
                <w:szCs w:val="20"/>
              </w:rPr>
              <w:t xml:space="preserve">____________________</w:t>
            </w:r>
          </w:p>
        </w:tc>
      </w:tr>
    </w:tbl>
    <w:p>
      <w:pPr>
        <w:spacing w:after="400"/>
      </w:pPr>
    </w:p>
    <w:p>
      <w:r>
        <w:rPr>
          <w:rFonts w:ascii="Calibri" w:cs="Calibri" w:eastAsia="Calibri" w:hAnsi="Calibri"/>
          <w:i/>
          <w:iCs/>
          <w:color w:val="7A7974"/>
          <w:sz w:val="18"/>
          <w:szCs w:val="18"/>
        </w:rPr>
        <w:t xml:space="preserve">Quellen: BRAO §§ 59c–59l (dejure.org/gesetze/BRAO) — GmbHG §§ 2, 5, 13 (dejure.org/gesetze/GmbHG)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rPr>
      <w:rFonts w:ascii="Calibri" w:cs="Calibri" w:eastAsia="Calibri" w:hAnsi="Calibri"/>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Gesellschaftsvertrag EFS Rechtsanwaltsgesellschaft mbH</dc:title>
  <dc:creator>Perplexity Computer</dc:creator>
  <cp:lastModifiedBy>Un-named</cp:lastModifiedBy>
  <cp:revision>1</cp:revision>
  <dcterms:created xsi:type="dcterms:W3CDTF">2026-05-30T19:02:22.615Z</dcterms:created>
  <dcterms:modified xsi:type="dcterms:W3CDTF">2026-05-30T19:02:22.615Z</dcterms:modified>
</cp:coreProperties>
</file>

<file path=docProps/custom.xml><?xml version="1.0" encoding="utf-8"?>
<Properties xmlns="http://schemas.openxmlformats.org/officeDocument/2006/custom-properties" xmlns:vt="http://schemas.openxmlformats.org/officeDocument/2006/docPropsVTypes"/>
</file>