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 w:before="480"/>
        <w:jc w:val="center"/>
      </w:pPr>
      <w:r>
        <w:rPr>
          <w:rFonts w:ascii="Calibri" w:cs="Calibri" w:eastAsia="Calibri" w:hAnsi="Calibri"/>
          <w:b/>
          <w:bCs/>
          <w:color w:val="1B474D"/>
          <w:sz w:val="40"/>
          <w:szCs w:val="40"/>
        </w:rPr>
        <w:t xml:space="preserve">ANMELDUNG EINES ZUSAMMENSCHLUSSES</w:t>
      </w:r>
    </w:p>
    <w:p>
      <w:pPr>
        <w:spacing w:after="80"/>
        <w:jc w:val="center"/>
      </w:pPr>
      <w:r>
        <w:rPr>
          <w:rFonts w:ascii="Calibri" w:cs="Calibri" w:eastAsia="Calibri" w:hAnsi="Calibri"/>
          <w:color w:val="20808D"/>
          <w:sz w:val="26"/>
          <w:szCs w:val="26"/>
        </w:rPr>
        <w:t xml:space="preserve">gemäß § 39 Gesetz gegen Wettbewerbsbeschränkungen (GWB)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beim Bundeskartellamt, Kaiser-Friedrich-Straße 16, 53113 Bonn</w:t>
      </w:r>
    </w:p>
    <w:p>
      <w:pPr>
        <w:spacing w:after="480"/>
        <w:jc w:val="center"/>
      </w:pPr>
      <w:r>
        <w:rPr>
          <w:rFonts w:ascii="Calibri" w:cs="Calibri" w:eastAsia="Calibri" w:hAnsi="Calibri"/>
          <w:b/>
          <w:bCs/>
          <w:color w:val="1B474D"/>
          <w:sz w:val="28"/>
          <w:szCs w:val="28"/>
        </w:rPr>
        <w:t xml:space="preserve">Az. B6-188-26 | 16. März 2026</w:t>
      </w:r>
    </w:p>
    <w:p>
      <w:pPr>
        <w:pBdr>
          <w:bottom w:val="single" w:color="D4D1CA" w:sz="1"/>
        </w:pBdr>
        <w:spacing w:after="200" w:before="200"/>
      </w:pPr>
      <w:r>
        <w:rPr>
          <w:sz w:val="22"/>
          <w:szCs w:val="22"/>
        </w:rPr>
        <w:t xml:space="preserve"/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Antragsteller: </w:t>
      </w:r>
      <w:r>
        <w:rPr>
          <w:rFonts w:ascii="Calibri" w:cs="Calibri" w:eastAsia="Calibri" w:hAnsi="Calibri"/>
          <w:sz w:val="22"/>
          <w:szCs w:val="22"/>
        </w:rPr>
        <w:t xml:space="preserve">Grosskopf Betonwerk Westfalen GmbH, Schifffahrter Damm 299, 48145 Münster</w:t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Bevollmächtigte Kanzlei: </w:t>
      </w:r>
      <w:r>
        <w:rPr>
          <w:rFonts w:ascii="Calibri" w:cs="Calibri" w:eastAsia="Calibri" w:hAnsi="Calibri"/>
          <w:sz w:val="22"/>
          <w:szCs w:val="22"/>
        </w:rPr>
        <w:t xml:space="preserve">Prof. Dr. Cornelius Friedrich Schwertbeck &amp; Partner RA, Graf-Adolf-Platz 5, 40213 Düsseldorf</w:t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Verfahren: </w:t>
      </w:r>
      <w:r>
        <w:rPr>
          <w:rFonts w:ascii="Calibri" w:cs="Calibri" w:eastAsia="Calibri" w:hAnsi="Calibri"/>
          <w:sz w:val="22"/>
          <w:szCs w:val="22"/>
        </w:rPr>
        <w:t xml:space="preserve">Fusionskontrolle gemäß §§ 35 ff. GWB</w:t>
      </w:r>
    </w:p>
    <w:p>
      <w:pPr>
        <w:pBdr>
          <w:bottom w:val="single" w:color="D4D1CA" w:sz="1"/>
        </w:pBdr>
        <w:spacing w:after="200" w:before="200"/>
      </w:pPr>
      <w:r>
        <w:rPr>
          <w:sz w:val="22"/>
          <w:szCs w:val="22"/>
        </w:rPr>
        <w:t xml:space="preserve"/>
      </w:r>
    </w:p>
    <w:p>
      <w:pPr>
        <w:spacing w:after="120" w:before="400"/>
      </w:pPr>
      <w:r>
        <w:rPr>
          <w:rFonts w:ascii="Calibri" w:cs="Calibri" w:eastAsia="Calibri" w:hAnsi="Calibri"/>
          <w:b/>
          <w:bCs/>
          <w:color w:val="1B474D"/>
          <w:sz w:val="30"/>
          <w:szCs w:val="30"/>
        </w:rPr>
        <w:t xml:space="preserve">A. Angaben zu den beteiligten Unternehmen</w:t>
      </w:r>
    </w:p>
    <w:p>
      <w:pPr>
        <w:spacing w:after="100" w:before="280"/>
      </w:pPr>
      <w:r>
        <w:rPr>
          <w:rFonts w:ascii="Calibri" w:cs="Calibri" w:eastAsia="Calibri" w:hAnsi="Calibri"/>
          <w:b/>
          <w:bCs/>
          <w:color w:val="20808D"/>
          <w:sz w:val="26"/>
          <w:szCs w:val="26"/>
        </w:rPr>
        <w:t xml:space="preserve">I. Erwerber — Grosskopf Betonwerk Westfalen GmbH</w:t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Firma: </w:t>
      </w:r>
      <w:r>
        <w:rPr>
          <w:rFonts w:ascii="Calibri" w:cs="Calibri" w:eastAsia="Calibri" w:hAnsi="Calibri"/>
          <w:sz w:val="22"/>
          <w:szCs w:val="22"/>
        </w:rPr>
        <w:t xml:space="preserve">Grosskopf Betonwerk Westfalen GmbH (GBW)</w:t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Sitz: </w:t>
      </w:r>
      <w:r>
        <w:rPr>
          <w:rFonts w:ascii="Calibri" w:cs="Calibri" w:eastAsia="Calibri" w:hAnsi="Calibri"/>
          <w:sz w:val="22"/>
          <w:szCs w:val="22"/>
        </w:rPr>
        <w:t xml:space="preserve">Schifffahrter Damm 299, 48145 Münster, Nordrhein-Westfalen</w:t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Handelsregister: </w:t>
      </w:r>
      <w:r>
        <w:rPr>
          <w:rFonts w:ascii="Calibri" w:cs="Calibri" w:eastAsia="Calibri" w:hAnsi="Calibri"/>
          <w:sz w:val="22"/>
          <w:szCs w:val="22"/>
        </w:rPr>
        <w:t xml:space="preserve">HRB 12340, Amtsgericht Münster</w:t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Gegenstand: </w:t>
      </w:r>
      <w:r>
        <w:rPr>
          <w:rFonts w:ascii="Calibri" w:cs="Calibri" w:eastAsia="Calibri" w:hAnsi="Calibri"/>
          <w:sz w:val="22"/>
          <w:szCs w:val="22"/>
        </w:rPr>
        <w:t xml:space="preserve">Herstellung vorgespannter Betonschwellen (Spannbetonschwellen) für Vollbahn, Straßenbahn und Industriebahn; Weichenschwellen; Brückenschwellen</w:t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Mitarbeitende: </w:t>
      </w:r>
      <w:r>
        <w:rPr>
          <w:rFonts w:ascii="Calibri" w:cs="Calibri" w:eastAsia="Calibri" w:hAnsi="Calibri"/>
          <w:sz w:val="22"/>
          <w:szCs w:val="22"/>
        </w:rPr>
        <w:t xml:space="preserve">188 Vollzeitäquivalente (Stand 31.12.2025)</w:t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Umsatz Deutschland 2025 (vorläufig): </w:t>
      </w:r>
      <w:r>
        <w:rPr>
          <w:rFonts w:ascii="Calibri" w:cs="Calibri" w:eastAsia="Calibri" w:hAnsi="Calibri"/>
          <w:sz w:val="22"/>
          <w:szCs w:val="22"/>
        </w:rPr>
        <w:t xml:space="preserve">58.100.000 EUR</w:t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Umsatz gesamt 2025 (vorläufig): </w:t>
      </w:r>
      <w:r>
        <w:rPr>
          <w:rFonts w:ascii="Calibri" w:cs="Calibri" w:eastAsia="Calibri" w:hAnsi="Calibri"/>
          <w:sz w:val="22"/>
          <w:szCs w:val="22"/>
        </w:rPr>
        <w:t xml:space="preserve">74.300.000 EUR (inkl. Tochter GBW Nederland B.V., Venlo)</w:t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Marktanteil DE Bahnbetonschwellen: </w:t>
      </w:r>
      <w:r>
        <w:rPr>
          <w:rFonts w:ascii="Calibri" w:cs="Calibri" w:eastAsia="Calibri" w:hAnsi="Calibri"/>
          <w:sz w:val="22"/>
          <w:szCs w:val="22"/>
        </w:rPr>
        <w:t xml:space="preserve">ca. 38 %</w:t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Fertigungsstandorte: </w:t>
      </w:r>
      <w:r>
        <w:rPr>
          <w:rFonts w:ascii="Calibri" w:cs="Calibri" w:eastAsia="Calibri" w:hAnsi="Calibri"/>
          <w:sz w:val="22"/>
          <w:szCs w:val="22"/>
        </w:rPr>
        <w:t xml:space="preserve">Münster (Hauptwerk), Hamm (Zweigwerk)</w:t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Hauptabnehmer: </w:t>
      </w:r>
      <w:r>
        <w:rPr>
          <w:rFonts w:ascii="Calibri" w:cs="Calibri" w:eastAsia="Calibri" w:hAnsi="Calibri"/>
          <w:sz w:val="22"/>
          <w:szCs w:val="22"/>
        </w:rPr>
        <w:t xml:space="preserve">Deutsche Bahn AG / DB InfraGO AG (Rahmenvertrag 2024–2028)</w:t>
      </w:r>
    </w:p>
    <w:p>
      <w:pPr>
        <w:spacing w:after="120"/>
      </w:pPr>
      <w:r>
        <w:rPr>
          <w:sz w:val="22"/>
          <w:szCs w:val="22"/>
        </w:rPr>
        <w:t xml:space="preserve"/>
      </w:r>
    </w:p>
    <w:p>
      <w:pPr>
        <w:spacing w:after="100" w:before="280"/>
      </w:pPr>
      <w:r>
        <w:rPr>
          <w:rFonts w:ascii="Calibri" w:cs="Calibri" w:eastAsia="Calibri" w:hAnsi="Calibri"/>
          <w:b/>
          <w:bCs/>
          <w:color w:val="20808D"/>
          <w:sz w:val="26"/>
          <w:szCs w:val="26"/>
        </w:rPr>
        <w:t xml:space="preserve">II. Zielgesellschaft — Tannenheim Betonelemente AG</w:t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Firma: </w:t>
      </w:r>
      <w:r>
        <w:rPr>
          <w:rFonts w:ascii="Calibri" w:cs="Calibri" w:eastAsia="Calibri" w:hAnsi="Calibri"/>
          <w:sz w:val="22"/>
          <w:szCs w:val="22"/>
        </w:rPr>
        <w:t xml:space="preserve">Tannenheim Betonelemente AG (TBA)</w:t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Sitz: </w:t>
      </w:r>
      <w:r>
        <w:rPr>
          <w:rFonts w:ascii="Calibri" w:cs="Calibri" w:eastAsia="Calibri" w:hAnsi="Calibri"/>
          <w:sz w:val="22"/>
          <w:szCs w:val="22"/>
        </w:rPr>
        <w:t xml:space="preserve">Detmolder Straße 840, 33699 Bielefeld, Nordrhein-Westfalen</w:t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Handelsregister: </w:t>
      </w:r>
      <w:r>
        <w:rPr>
          <w:rFonts w:ascii="Calibri" w:cs="Calibri" w:eastAsia="Calibri" w:hAnsi="Calibri"/>
          <w:sz w:val="22"/>
          <w:szCs w:val="22"/>
        </w:rPr>
        <w:t xml:space="preserve">HRB 9876, Amtsgericht Bielefeld</w:t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Gegenstand: </w:t>
      </w:r>
      <w:r>
        <w:rPr>
          <w:rFonts w:ascii="Calibri" w:cs="Calibri" w:eastAsia="Calibri" w:hAnsi="Calibri"/>
          <w:sz w:val="22"/>
          <w:szCs w:val="22"/>
        </w:rPr>
        <w:t xml:space="preserve">Herstellung vorgespannter Betonschwellen für Vollbahn und Straßenbahn</w:t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Mitarbeitende: </w:t>
      </w:r>
      <w:r>
        <w:rPr>
          <w:rFonts w:ascii="Calibri" w:cs="Calibri" w:eastAsia="Calibri" w:hAnsi="Calibri"/>
          <w:sz w:val="22"/>
          <w:szCs w:val="22"/>
        </w:rPr>
        <w:t xml:space="preserve">94 Vollzeitäquivalente (Stand 31.12.2025)</w:t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Umsatz Deutschland 2025 (vorläufig): </w:t>
      </w:r>
      <w:r>
        <w:rPr>
          <w:rFonts w:ascii="Calibri" w:cs="Calibri" w:eastAsia="Calibri" w:hAnsi="Calibri"/>
          <w:sz w:val="22"/>
          <w:szCs w:val="22"/>
        </w:rPr>
        <w:t xml:space="preserve">29.100.000 EUR</w:t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Umsatz gesamt 2025 (vorläufig): </w:t>
      </w:r>
      <w:r>
        <w:rPr>
          <w:rFonts w:ascii="Calibri" w:cs="Calibri" w:eastAsia="Calibri" w:hAnsi="Calibri"/>
          <w:sz w:val="22"/>
          <w:szCs w:val="22"/>
        </w:rPr>
        <w:t xml:space="preserve">32.800.000 EUR</w:t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Marktanteil DE Bahnbetonschwellen: </w:t>
      </w:r>
      <w:r>
        <w:rPr>
          <w:rFonts w:ascii="Calibri" w:cs="Calibri" w:eastAsia="Calibri" w:hAnsi="Calibri"/>
          <w:sz w:val="22"/>
          <w:szCs w:val="22"/>
        </w:rPr>
        <w:t xml:space="preserve">ca. 19 %</w:t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Fertigungsstandort: </w:t>
      </w:r>
      <w:r>
        <w:rPr>
          <w:rFonts w:ascii="Calibri" w:cs="Calibri" w:eastAsia="Calibri" w:hAnsi="Calibri"/>
          <w:sz w:val="22"/>
          <w:szCs w:val="22"/>
        </w:rPr>
        <w:t xml:space="preserve">Bielefeld, Detmolder Straße 840 (einziges Werk)</w:t>
      </w:r>
    </w:p>
    <w:p>
      <w:pPr>
        <w:pBdr>
          <w:bottom w:val="single" w:color="D4D1CA" w:sz="1"/>
        </w:pBdr>
        <w:spacing w:after="200" w:before="200"/>
      </w:pPr>
      <w:r>
        <w:rPr>
          <w:sz w:val="22"/>
          <w:szCs w:val="22"/>
        </w:rPr>
        <w:t xml:space="preserve"/>
      </w:r>
    </w:p>
    <w:p>
      <w:pPr>
        <w:spacing w:after="120" w:before="400"/>
      </w:pPr>
      <w:r>
        <w:rPr>
          <w:rFonts w:ascii="Calibri" w:cs="Calibri" w:eastAsia="Calibri" w:hAnsi="Calibri"/>
          <w:b/>
          <w:bCs/>
          <w:color w:val="1B474D"/>
          <w:sz w:val="30"/>
          <w:szCs w:val="30"/>
        </w:rPr>
        <w:t xml:space="preserve">B. Art des Zusammenschlusses (§ 37 GWB)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GBW beabsichtigt, sämtliche Aktien der Tannenheim Betonelemente AG von der Tannenheim Holding SE sowie dem Streubesitz zu erwerben. Nach Vollzug hält GBW 100 % der Stimmrechte. Der Zusammenschluss erfüllt den Tatbestand des § 37 Abs. 1 Nr. 3 GWB.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Das Signing des Share Purchase Agreement (SPA) erfolgte am 15. März 2026. Das Closing ist aufschiebend bedingt auf den Eintritt der fusionskontrollrechtlichen Freigaben. Das Vollzugsverbot gemäß § 41 Abs. 1 GWB wird von beiden Parteien beachtet.</w:t>
      </w:r>
    </w:p>
    <w:p>
      <w:pPr>
        <w:pBdr>
          <w:bottom w:val="single" w:color="D4D1CA" w:sz="1"/>
        </w:pBdr>
        <w:spacing w:after="200" w:before="200"/>
      </w:pPr>
      <w:r>
        <w:rPr>
          <w:sz w:val="22"/>
          <w:szCs w:val="22"/>
        </w:rPr>
        <w:t xml:space="preserve"/>
      </w:r>
    </w:p>
    <w:p>
      <w:pPr>
        <w:spacing w:after="120" w:before="400"/>
      </w:pPr>
      <w:r>
        <w:rPr>
          <w:rFonts w:ascii="Calibri" w:cs="Calibri" w:eastAsia="Calibri" w:hAnsi="Calibri"/>
          <w:b/>
          <w:bCs/>
          <w:color w:val="1B474D"/>
          <w:sz w:val="30"/>
          <w:szCs w:val="30"/>
        </w:rPr>
        <w:t xml:space="preserve">C. Relevante Märkte und Marktanteile</w:t>
      </w:r>
    </w:p>
    <w:p>
      <w:pPr>
        <w:spacing w:after="100" w:before="280"/>
      </w:pPr>
      <w:r>
        <w:rPr>
          <w:rFonts w:ascii="Calibri" w:cs="Calibri" w:eastAsia="Calibri" w:hAnsi="Calibri"/>
          <w:b/>
          <w:bCs/>
          <w:color w:val="20808D"/>
          <w:sz w:val="26"/>
          <w:szCs w:val="26"/>
        </w:rPr>
        <w:t xml:space="preserve">I. Sachlich relevanter Markt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Produktmarkt (vorläufig): Spannbetonschwellen für Vollbahninfrastruktur (sog. 'Bahnbetonschwellen'). Grundlage: Bedarfsmarktkonzept (BGH KZR 39/85, Lüsterbehang), SSNIP-Test gemäß Bekanntmachung der Kommission über die Definition des relevanten Marktes (ABl. C/2024/1645). Holzbahn-, Stahl- und Verbundschwellen werden wegen mangelnder Austauschbarkeit (technisch, regulatorisch) nicht einbezogen.</w:t>
      </w:r>
    </w:p>
    <w:p>
      <w:pPr>
        <w:spacing w:after="100" w:before="280"/>
      </w:pPr>
      <w:r>
        <w:rPr>
          <w:rFonts w:ascii="Calibri" w:cs="Calibri" w:eastAsia="Calibri" w:hAnsi="Calibri"/>
          <w:b/>
          <w:bCs/>
          <w:color w:val="20808D"/>
          <w:sz w:val="26"/>
          <w:szCs w:val="26"/>
        </w:rPr>
        <w:t xml:space="preserve">II. Räumlich relevanter Markt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Primäre Abgrenzung: Nationaler Markt Deutschland. Transportkostenintensität (Schwellengewicht 250–320 kg), DB-spezifische Zulassungsanforderungen und historische Beschaffungsstrukturen sprechen für nationale Marktabgrenzung. Alternativ wird EWR-weite Abgrenzung vorgetragen.</w:t>
      </w:r>
    </w:p>
    <w:p>
      <w:pPr>
        <w:spacing w:after="100" w:before="280"/>
      </w:pPr>
      <w:r>
        <w:rPr>
          <w:rFonts w:ascii="Calibri" w:cs="Calibri" w:eastAsia="Calibri" w:hAnsi="Calibri"/>
          <w:b/>
          <w:bCs/>
          <w:color w:val="20808D"/>
          <w:sz w:val="26"/>
          <w:szCs w:val="26"/>
        </w:rPr>
        <w:t xml:space="preserve">III. Marktanteile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shd w:fill="1B474D" w:color="1B474D" w:val="solid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Unternehmen</w:t>
            </w:r>
          </w:p>
        </w:tc>
        <w:tc>
          <w:tcPr>
            <w:shd w:fill="1B474D" w:color="1B474D" w:val="solid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Umsatz DE 2025 (Mio. EUR)</w:t>
            </w:r>
          </w:p>
        </w:tc>
        <w:tc>
          <w:tcPr>
            <w:shd w:fill="1B474D" w:color="1B474D" w:val="solid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Marktanteil DE (pre)</w:t>
            </w:r>
          </w:p>
        </w:tc>
        <w:tc>
          <w:tcPr>
            <w:shd w:fill="1B474D" w:color="1B474D" w:val="solid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Marktanteil DE (post)</w:t>
            </w:r>
          </w:p>
        </w:tc>
      </w:tr>
      <w:tr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20"/>
                <w:szCs w:val="20"/>
              </w:rPr>
              <w:t xml:space="preserve">GBW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20"/>
                <w:szCs w:val="20"/>
              </w:rPr>
              <w:t xml:space="preserve">58,1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20"/>
                <w:szCs w:val="20"/>
              </w:rPr>
              <w:t xml:space="preserve">ca. 38 %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20"/>
                <w:szCs w:val="20"/>
              </w:rPr>
              <w:t xml:space="preserve">ca. 57 % kombiniert</w:t>
            </w:r>
          </w:p>
        </w:tc>
      </w:tr>
      <w:tr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20"/>
                <w:szCs w:val="20"/>
              </w:rPr>
              <w:t xml:space="preserve">TBA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20"/>
                <w:szCs w:val="20"/>
              </w:rPr>
              <w:t xml:space="preserve">29,1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20"/>
                <w:szCs w:val="20"/>
              </w:rPr>
              <w:t xml:space="preserve">ca. 19 %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20"/>
                <w:szCs w:val="20"/>
              </w:rPr>
              <w:t xml:space="preserve">—</w:t>
            </w:r>
          </w:p>
        </w:tc>
      </w:tr>
      <w:tr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20"/>
                <w:szCs w:val="20"/>
              </w:rPr>
              <w:t xml:space="preserve">Rehme Bahnbau GmbH &amp; Co. KG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20"/>
                <w:szCs w:val="20"/>
              </w:rPr>
              <w:t xml:space="preserve">ca. 27,5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20"/>
                <w:szCs w:val="20"/>
              </w:rPr>
              <w:t xml:space="preserve">ca. 18 %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20"/>
                <w:szCs w:val="20"/>
              </w:rPr>
              <w:t xml:space="preserve">ca. 18 %</w:t>
            </w:r>
          </w:p>
        </w:tc>
      </w:tr>
      <w:tr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20"/>
                <w:szCs w:val="20"/>
              </w:rPr>
              <w:t xml:space="preserve">Schienenwerk Lausitz AG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20"/>
                <w:szCs w:val="20"/>
              </w:rPr>
              <w:t xml:space="preserve">ca. 18,4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20"/>
                <w:szCs w:val="20"/>
              </w:rPr>
              <w:t xml:space="preserve">ca. 12 %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20"/>
                <w:szCs w:val="20"/>
              </w:rPr>
              <w:t xml:space="preserve">ca. 12 %</w:t>
            </w:r>
          </w:p>
        </w:tc>
      </w:tr>
      <w:tr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20"/>
                <w:szCs w:val="20"/>
              </w:rPr>
              <w:t xml:space="preserve">Sonstige / Import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20"/>
                <w:szCs w:val="20"/>
              </w:rPr>
              <w:t xml:space="preserve">ca. 19,9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20"/>
                <w:szCs w:val="20"/>
              </w:rPr>
              <w:t xml:space="preserve">ca. 13 %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20"/>
                <w:szCs w:val="20"/>
              </w:rPr>
              <w:t xml:space="preserve">ca. 13 %</w:t>
            </w:r>
          </w:p>
        </w:tc>
      </w:tr>
      <w:tr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20"/>
                <w:szCs w:val="20"/>
              </w:rPr>
              <w:t xml:space="preserve">Marktvolumen gesamt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20"/>
                <w:szCs w:val="20"/>
              </w:rPr>
              <w:t xml:space="preserve">ca. 153,0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20"/>
                <w:szCs w:val="20"/>
              </w:rPr>
              <w:t xml:space="preserve">100 %</w:t>
            </w:r>
          </w:p>
        </w:tc>
        <w:tc>
          <w:tcPr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after="80" w:before="80"/>
            </w:pPr>
            <w:r>
              <w:rPr>
                <w:rFonts w:ascii="Calibri" w:cs="Calibri" w:eastAsia="Calibri" w:hAnsi="Calibri"/>
                <w:b w:val="false"/>
                <w:bCs w:val="false"/>
                <w:color w:val="28251D"/>
                <w:sz w:val="20"/>
                <w:szCs w:val="20"/>
              </w:rPr>
              <w:t xml:space="preserve">100 %</w:t>
            </w:r>
          </w:p>
        </w:tc>
      </w:tr>
    </w:tbl>
    <w:p>
      <w:pPr>
        <w:spacing w:after="120"/>
      </w:pPr>
      <w:r>
        <w:rPr>
          <w:sz w:val="22"/>
          <w:szCs w:val="22"/>
        </w:rPr>
        <w:t xml:space="preserve"/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Post-Merger-HHI: ca. 3.886 (pre: ca. 2.442). Delta-HHI: ca. 1.444. Beide Schwellen der EU-Horizontalleitlinien (HHI &gt; 2.000, Delta &gt; 150) sind überschritten.</w:t>
      </w:r>
    </w:p>
    <w:p>
      <w:pPr>
        <w:pBdr>
          <w:bottom w:val="single" w:color="D4D1CA" w:sz="1"/>
        </w:pBdr>
        <w:spacing w:after="200" w:before="200"/>
      </w:pPr>
      <w:r>
        <w:rPr>
          <w:sz w:val="22"/>
          <w:szCs w:val="22"/>
        </w:rPr>
        <w:t xml:space="preserve"/>
      </w:r>
    </w:p>
    <w:p>
      <w:pPr>
        <w:spacing w:after="120" w:before="400"/>
      </w:pPr>
      <w:r>
        <w:rPr>
          <w:rFonts w:ascii="Calibri" w:cs="Calibri" w:eastAsia="Calibri" w:hAnsi="Calibri"/>
          <w:b/>
          <w:bCs/>
          <w:color w:val="1B474D"/>
          <w:sz w:val="30"/>
          <w:szCs w:val="30"/>
        </w:rPr>
        <w:t xml:space="preserve">D. Vollzugsverbot und Erklärung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Die Anmeldenden erklären, dass der Zusammenschluss vor Erteilung der Freigabe nicht vollzogen wird (§ 41 Abs. 1 GWB). Alle Angaben sind vollständig und wahrheitsgemäß. Änderungen werden unverzüglich mitgeteilt.</w:t>
      </w:r>
    </w:p>
    <w:p>
      <w:pPr>
        <w:spacing w:after="120"/>
      </w:pPr>
      <w:r>
        <w:rPr>
          <w:sz w:val="22"/>
          <w:szCs w:val="22"/>
        </w:rPr>
        <w:t xml:space="preserve"/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Düsseldorf, 16. März 2026</w:t>
      </w:r>
    </w:p>
    <w:p>
      <w:pPr>
        <w:spacing w:after="120"/>
      </w:pPr>
      <w:r>
        <w:rPr>
          <w:sz w:val="22"/>
          <w:szCs w:val="22"/>
        </w:rPr>
        <w:t xml:space="preserve"/>
      </w:r>
    </w:p>
    <w:p>
      <w:pPr>
        <w:spacing w:after="120"/>
      </w:pPr>
      <w:r>
        <w:rPr>
          <w:sz w:val="22"/>
          <w:szCs w:val="22"/>
        </w:rPr>
        <w:t xml:space="preserve"/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Prof. Dr. Cornelius Friedrich Schwertbeck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Rechtsanwalt, Fachanwalt für Kartellrecht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Schwertbeck &amp; Partner Rechtsanwälte, Graf-Adolf-Platz 5, 40213 Düsseldorf</w:t>
      </w:r>
    </w:p>
    <w:p>
      <w:pPr>
        <w:pBdr>
          <w:bottom w:val="single" w:color="D4D1CA" w:sz="1"/>
        </w:pBdr>
        <w:spacing w:after="200" w:before="200"/>
      </w:pPr>
      <w:r>
        <w:rPr>
          <w:sz w:val="22"/>
          <w:szCs w:val="22"/>
        </w:rPr>
        <w:t xml:space="preserve"/>
      </w:r>
    </w:p>
    <w:p>
      <w:pPr>
        <w:spacing w:after="80"/>
      </w:pPr>
      <w:r>
        <w:rPr>
          <w:rFonts w:ascii="Calibri" w:cs="Calibri" w:eastAsia="Calibri" w:hAnsi="Calibri"/>
          <w:i/>
          <w:iCs/>
          <w:color w:val="7A7974"/>
          <w:sz w:val="18"/>
          <w:szCs w:val="18"/>
        </w:rPr>
        <w:t xml:space="preserve">Quellen: § 35, § 37, § 39, § 40, § 41 GWB: dejure.org/gesetze/GWB | Art. 1, 7 FKVO 139/2004: eur-lex.europa.eu/legal-content/DE/TXT/?uri=CELEX%3A32004R0139 | BGH KZR 39/85 Lüsterbehang: bundesgerichtshof.de | Kommissionsbekanntmachung Marktdefinition ABl. C/2024/1645: eur-lex.europa.eu/legal-content/DE/TXT/?uri=OJ:C_202401645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2026-05-30T19:08:07.806Z</dcterms:created>
  <dcterms:modified xsi:type="dcterms:W3CDTF">2026-05-30T19:08:07.806Z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