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right"/>
      </w:pPr>
      <w:r>
        <w:rPr>
          <w:rFonts w:ascii="Calibri" w:cs="Calibri" w:eastAsia="Calibri" w:hAnsi="Calibri"/>
          <w:color w:val="7A7974"/>
          <w:sz w:val="22"/>
          <w:szCs w:val="22"/>
        </w:rPr>
        <w:t xml:space="preserve">EUROPEAN COMMISSION</w:t>
      </w:r>
    </w:p>
    <w:p>
      <w:pPr>
        <w:spacing w:after="200"/>
        <w:jc w:val="right"/>
      </w:pPr>
      <w:r>
        <w:rPr>
          <w:rFonts w:ascii="Calibri" w:cs="Calibri" w:eastAsia="Calibri" w:hAnsi="Calibri"/>
          <w:color w:val="7A7974"/>
          <w:sz w:val="22"/>
          <w:szCs w:val="22"/>
        </w:rPr>
        <w:t xml:space="preserve">DG COMPETITION — MERGER CONTROL</w:t>
      </w:r>
    </w:p>
    <w:p>
      <w:pPr>
        <w:spacing w:after="120" w:before="240"/>
        <w:jc w:val="center"/>
      </w:pPr>
      <w:r>
        <w:rPr>
          <w:rFonts w:ascii="Calibri" w:cs="Calibri" w:eastAsia="Calibri" w:hAnsi="Calibri"/>
          <w:b/>
          <w:bCs/>
          <w:color w:val="1B474D"/>
          <w:sz w:val="40"/>
          <w:szCs w:val="40"/>
        </w:rPr>
        <w:t xml:space="preserve">FORM CO — EXECUTIVE SUMMARY</w:t>
      </w:r>
    </w:p>
    <w:p>
      <w:pPr>
        <w:spacing w:after="80"/>
        <w:jc w:val="center"/>
      </w:pPr>
      <w:r>
        <w:rPr>
          <w:rFonts w:ascii="Calibri" w:cs="Calibri" w:eastAsia="Calibri" w:hAnsi="Calibri"/>
          <w:b/>
          <w:bCs/>
          <w:color w:val="20808D"/>
          <w:sz w:val="30"/>
          <w:szCs w:val="30"/>
        </w:rPr>
        <w:t xml:space="preserve">Case COMP M.92188</w:t>
      </w:r>
    </w:p>
    <w:p>
      <w:pPr>
        <w:spacing w:after="80"/>
        <w:jc w:val="center"/>
      </w:pPr>
      <w:r>
        <w:rPr>
          <w:rFonts w:ascii="Calibri" w:cs="Calibri" w:eastAsia="Calibri" w:hAnsi="Calibri"/>
          <w:sz w:val="26"/>
          <w:szCs w:val="26"/>
        </w:rPr>
        <w:t xml:space="preserve">Grosskopf Betonwerk Westfalen GmbH / Tannenheim Betonelemente AG</w:t>
      </w:r>
    </w:p>
    <w:p>
      <w:pPr>
        <w:spacing w:after="480"/>
        <w:jc w:val="center"/>
      </w:pPr>
      <w:r>
        <w:rPr>
          <w:rFonts w:ascii="Calibri" w:cs="Calibri" w:eastAsia="Calibri" w:hAnsi="Calibri"/>
          <w:i/>
          <w:iCs/>
          <w:color w:val="7A7974"/>
          <w:sz w:val="22"/>
          <w:szCs w:val="22"/>
        </w:rPr>
        <w:t xml:space="preserve">Filed pursuant to Article 4(3) of Council Regulation (EC) No 139/2004 (EUMR)</w:t>
      </w:r>
    </w:p>
    <w:p>
      <w:pPr>
        <w:pBdr>
          <w:bottom w:val="single" w:color="D4D1CA" w:sz="1"/>
        </w:pBdr>
        <w:spacing w:after="200" w:before="200"/>
      </w:pPr>
      <w:r>
        <w:rPr>
          <w:sz w:val="22"/>
          <w:szCs w:val="22"/>
        </w:rPr>
        <w:t xml:space="preserve"/>
      </w:r>
    </w:p>
    <w:p>
      <w:pPr>
        <w:spacing w:after="80"/>
      </w:pPr>
      <w:r>
        <w:rPr>
          <w:rFonts w:ascii="Calibri" w:cs="Calibri" w:eastAsia="Calibri" w:hAnsi="Calibri"/>
          <w:b/>
          <w:bCs/>
          <w:sz w:val="22"/>
          <w:szCs w:val="22"/>
        </w:rPr>
        <w:t xml:space="preserve">Reference number: </w:t>
      </w:r>
      <w:r>
        <w:rPr>
          <w:rFonts w:ascii="Calibri" w:cs="Calibri" w:eastAsia="Calibri" w:hAnsi="Calibri"/>
          <w:sz w:val="22"/>
          <w:szCs w:val="22"/>
        </w:rPr>
        <w:t xml:space="preserve">COMP M.92188</w:t>
      </w:r>
    </w:p>
    <w:p>
      <w:pPr>
        <w:spacing w:after="80"/>
      </w:pPr>
      <w:r>
        <w:rPr>
          <w:rFonts w:ascii="Calibri" w:cs="Calibri" w:eastAsia="Calibri" w:hAnsi="Calibri"/>
          <w:b/>
          <w:bCs/>
          <w:sz w:val="22"/>
          <w:szCs w:val="22"/>
        </w:rPr>
        <w:t xml:space="preserve">Notifying party: </w:t>
      </w:r>
      <w:r>
        <w:rPr>
          <w:rFonts w:ascii="Calibri" w:cs="Calibri" w:eastAsia="Calibri" w:hAnsi="Calibri"/>
          <w:sz w:val="22"/>
          <w:szCs w:val="22"/>
        </w:rPr>
        <w:t xml:space="preserve">Grosskopf Betonwerk Westfalen GmbH (GBW), Münster, Germany</w:t>
      </w:r>
    </w:p>
    <w:p>
      <w:pPr>
        <w:spacing w:after="80"/>
      </w:pPr>
      <w:r>
        <w:rPr>
          <w:rFonts w:ascii="Calibri" w:cs="Calibri" w:eastAsia="Calibri" w:hAnsi="Calibri"/>
          <w:b/>
          <w:bCs/>
          <w:sz w:val="22"/>
          <w:szCs w:val="22"/>
        </w:rPr>
        <w:t xml:space="preserve">Target: </w:t>
      </w:r>
      <w:r>
        <w:rPr>
          <w:rFonts w:ascii="Calibri" w:cs="Calibri" w:eastAsia="Calibri" w:hAnsi="Calibri"/>
          <w:sz w:val="22"/>
          <w:szCs w:val="22"/>
        </w:rPr>
        <w:t xml:space="preserve">Tannenheim Betonelemente AG (TBA), Bielefeld, Germany</w:t>
      </w:r>
    </w:p>
    <w:p>
      <w:pPr>
        <w:spacing w:after="80"/>
      </w:pPr>
      <w:r>
        <w:rPr>
          <w:rFonts w:ascii="Calibri" w:cs="Calibri" w:eastAsia="Calibri" w:hAnsi="Calibri"/>
          <w:b/>
          <w:bCs/>
          <w:sz w:val="22"/>
          <w:szCs w:val="22"/>
        </w:rPr>
        <w:t xml:space="preserve">Counsel: </w:t>
      </w:r>
      <w:r>
        <w:rPr>
          <w:rFonts w:ascii="Calibri" w:cs="Calibri" w:eastAsia="Calibri" w:hAnsi="Calibri"/>
          <w:sz w:val="22"/>
          <w:szCs w:val="22"/>
        </w:rPr>
        <w:t xml:space="preserve">Prof. Dr. Cornelius Friedrich Schwertbeck &amp; Partner, Düsseldorf / Brussels</w:t>
      </w:r>
    </w:p>
    <w:p>
      <w:pPr>
        <w:spacing w:after="80"/>
      </w:pPr>
      <w:r>
        <w:rPr>
          <w:rFonts w:ascii="Calibri" w:cs="Calibri" w:eastAsia="Calibri" w:hAnsi="Calibri"/>
          <w:b/>
          <w:bCs/>
          <w:sz w:val="22"/>
          <w:szCs w:val="22"/>
        </w:rPr>
        <w:t xml:space="preserve">Brussels Office: </w:t>
      </w:r>
      <w:r>
        <w:rPr>
          <w:rFonts w:ascii="Calibri" w:cs="Calibri" w:eastAsia="Calibri" w:hAnsi="Calibri"/>
          <w:sz w:val="22"/>
          <w:szCs w:val="22"/>
        </w:rPr>
        <w:t xml:space="preserve">Dr. Annette van Hove, Rue de la Loi 155, B-1040 Brussels</w:t>
      </w:r>
    </w:p>
    <w:p>
      <w:pPr>
        <w:spacing w:after="80"/>
      </w:pPr>
      <w:r>
        <w:rPr>
          <w:rFonts w:ascii="Calibri" w:cs="Calibri" w:eastAsia="Calibri" w:hAnsi="Calibri"/>
          <w:b/>
          <w:bCs/>
          <w:sz w:val="22"/>
          <w:szCs w:val="22"/>
        </w:rPr>
        <w:t xml:space="preserve">Date: </w:t>
      </w:r>
      <w:r>
        <w:rPr>
          <w:rFonts w:ascii="Calibri" w:cs="Calibri" w:eastAsia="Calibri" w:hAnsi="Calibri"/>
          <w:sz w:val="22"/>
          <w:szCs w:val="22"/>
        </w:rPr>
        <w:t xml:space="preserve">March 2026</w:t>
      </w:r>
    </w:p>
    <w:p>
      <w:pPr>
        <w:pBdr>
          <w:bottom w:val="single" w:color="D4D1CA" w:sz="1"/>
        </w:pBdr>
        <w:spacing w:after="200" w:before="200"/>
      </w:pPr>
      <w:r>
        <w:rPr>
          <w:sz w:val="22"/>
          <w:szCs w:val="22"/>
        </w:rPr>
        <w:t xml:space="preserve"/>
      </w:r>
    </w:p>
    <w:p>
      <w:pPr>
        <w:spacing w:after="120" w:before="360"/>
      </w:pPr>
      <w:r>
        <w:rPr>
          <w:rFonts w:ascii="Calibri" w:cs="Calibri" w:eastAsia="Calibri" w:hAnsi="Calibri"/>
          <w:b/>
          <w:bCs/>
          <w:color w:val="1B474D"/>
          <w:sz w:val="30"/>
          <w:szCs w:val="30"/>
        </w:rPr>
        <w:t xml:space="preserve">1. Description of the Transaction</w:t>
      </w:r>
    </w:p>
    <w:p>
      <w:pPr>
        <w:spacing w:after="120"/>
      </w:pPr>
      <w:r>
        <w:rPr>
          <w:rFonts w:ascii="Calibri" w:cs="Calibri" w:eastAsia="Calibri" w:hAnsi="Calibri"/>
          <w:sz w:val="22"/>
          <w:szCs w:val="22"/>
        </w:rPr>
        <w:t xml:space="preserve">GBW proposes to acquire 100% of the shares of TBA by way of a share purchase agreement signed on 15 March 2026 (signing date). The transaction constitutes a concentration within the meaning of Article 3(1)(b) EUMR. Closing is conditional upon receipt of all necessary merger control approvals.</w:t>
      </w:r>
    </w:p>
    <w:p>
      <w:pPr>
        <w:spacing w:after="120"/>
      </w:pPr>
      <w:r>
        <w:rPr>
          <w:rFonts w:ascii="Calibri" w:cs="Calibri" w:eastAsia="Calibri" w:hAnsi="Calibri"/>
          <w:sz w:val="22"/>
          <w:szCs w:val="22"/>
        </w:rPr>
        <w:t xml:space="preserve">The concentration does not meet the thresholds of Article 1(2) or Article 1(3) EUMR. The case has been referred to the Commission pursuant to Article 22 EUMR upon request of the Bundeskartellamt, subsequently joined by the competition authorities of the Netherlands (ACM) and Belgium (Belgischer Wettbewerbsrat).</w:t>
      </w:r>
    </w:p>
    <w:p>
      <w:pPr>
        <w:pBdr>
          <w:bottom w:val="single" w:color="D4D1CA" w:sz="1"/>
        </w:pBdr>
        <w:spacing w:after="200" w:before="200"/>
      </w:pPr>
      <w:r>
        <w:rPr>
          <w:sz w:val="22"/>
          <w:szCs w:val="22"/>
        </w:rPr>
        <w:t xml:space="preserve"/>
      </w:r>
    </w:p>
    <w:p>
      <w:pPr>
        <w:spacing w:after="120" w:before="360"/>
      </w:pPr>
      <w:r>
        <w:rPr>
          <w:rFonts w:ascii="Calibri" w:cs="Calibri" w:eastAsia="Calibri" w:hAnsi="Calibri"/>
          <w:b/>
          <w:bCs/>
          <w:color w:val="1B474D"/>
          <w:sz w:val="30"/>
          <w:szCs w:val="30"/>
        </w:rPr>
        <w:t xml:space="preserve">2. Parties</w:t>
      </w:r>
    </w:p>
    <w:p>
      <w:pPr>
        <w:spacing w:after="100" w:before="240"/>
      </w:pPr>
      <w:r>
        <w:rPr>
          <w:rFonts w:ascii="Calibri" w:cs="Calibri" w:eastAsia="Calibri" w:hAnsi="Calibri"/>
          <w:b/>
          <w:bCs/>
          <w:color w:val="20808D"/>
          <w:sz w:val="26"/>
          <w:szCs w:val="26"/>
        </w:rPr>
        <w:t xml:space="preserve">2.1 GBW — Notifying Party</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shd w:fill="1B474D" w:color="1B474D" w:val="solid"/>
            <w:tcMar>
              <w:top w:type="dxa" w:w="60"/>
              <w:left w:type="dxa" w:w="120"/>
              <w:bottom w:type="dxa" w:w="60"/>
              <w:right w:type="dxa" w:w="120"/>
            </w:tcMar>
          </w:tcPr>
          <w:p>
            <w:pPr>
              <w:spacing w:after="60" w:before="60"/>
            </w:pPr>
            <w:r>
              <w:rPr>
                <w:rFonts w:ascii="Calibri" w:cs="Calibri" w:eastAsia="Calibri" w:hAnsi="Calibri"/>
                <w:b/>
                <w:bCs/>
                <w:color w:val="FFFFFF"/>
                <w:sz w:val="20"/>
                <w:szCs w:val="20"/>
              </w:rPr>
              <w:t xml:space="preserve">Item</w:t>
            </w:r>
          </w:p>
        </w:tc>
        <w:tc>
          <w:tcPr>
            <w:shd w:fill="1B474D" w:color="1B474D" w:val="solid"/>
            <w:tcMar>
              <w:top w:type="dxa" w:w="60"/>
              <w:left w:type="dxa" w:w="120"/>
              <w:bottom w:type="dxa" w:w="60"/>
              <w:right w:type="dxa" w:w="120"/>
            </w:tcMar>
          </w:tcPr>
          <w:p>
            <w:pPr>
              <w:spacing w:after="60" w:before="60"/>
            </w:pPr>
            <w:r>
              <w:rPr>
                <w:rFonts w:ascii="Calibri" w:cs="Calibri" w:eastAsia="Calibri" w:hAnsi="Calibri"/>
                <w:b/>
                <w:bCs/>
                <w:color w:val="FFFFFF"/>
                <w:sz w:val="20"/>
                <w:szCs w:val="20"/>
              </w:rPr>
              <w:t xml:space="preserve">Detail</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Company</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Grosskopf Betonwerk Westfalen GmbH</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Registered seat</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Münster, North Rhine-Westphalia, Germany</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Employees (FTE)</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188</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Turnover 2025 (worldwide, prov.)</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EUR 74.3 million</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Turnover 2025 (Germany, prov.)</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EUR 58.1 million</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Product(s)</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Prestressed concrete railway sleepers, switch sleepers, bridge sleepers</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Market share DE (pre-merger)</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approx. 38%</w:t>
            </w:r>
          </w:p>
        </w:tc>
      </w:tr>
    </w:tbl>
    <w:p>
      <w:pPr>
        <w:spacing w:after="120"/>
      </w:pPr>
      <w:r>
        <w:rPr>
          <w:sz w:val="22"/>
          <w:szCs w:val="22"/>
        </w:rPr>
        <w:t xml:space="preserve"/>
      </w:r>
    </w:p>
    <w:p>
      <w:pPr>
        <w:spacing w:after="100" w:before="240"/>
      </w:pPr>
      <w:r>
        <w:rPr>
          <w:rFonts w:ascii="Calibri" w:cs="Calibri" w:eastAsia="Calibri" w:hAnsi="Calibri"/>
          <w:b/>
          <w:bCs/>
          <w:color w:val="20808D"/>
          <w:sz w:val="26"/>
          <w:szCs w:val="26"/>
        </w:rPr>
        <w:t xml:space="preserve">2.2 TBA — Target</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shd w:fill="1B474D" w:color="1B474D" w:val="solid"/>
            <w:tcMar>
              <w:top w:type="dxa" w:w="60"/>
              <w:left w:type="dxa" w:w="120"/>
              <w:bottom w:type="dxa" w:w="60"/>
              <w:right w:type="dxa" w:w="120"/>
            </w:tcMar>
          </w:tcPr>
          <w:p>
            <w:pPr>
              <w:spacing w:after="60" w:before="60"/>
            </w:pPr>
            <w:r>
              <w:rPr>
                <w:rFonts w:ascii="Calibri" w:cs="Calibri" w:eastAsia="Calibri" w:hAnsi="Calibri"/>
                <w:b/>
                <w:bCs/>
                <w:color w:val="FFFFFF"/>
                <w:sz w:val="20"/>
                <w:szCs w:val="20"/>
              </w:rPr>
              <w:t xml:space="preserve">Item</w:t>
            </w:r>
          </w:p>
        </w:tc>
        <w:tc>
          <w:tcPr>
            <w:shd w:fill="1B474D" w:color="1B474D" w:val="solid"/>
            <w:tcMar>
              <w:top w:type="dxa" w:w="60"/>
              <w:left w:type="dxa" w:w="120"/>
              <w:bottom w:type="dxa" w:w="60"/>
              <w:right w:type="dxa" w:w="120"/>
            </w:tcMar>
          </w:tcPr>
          <w:p>
            <w:pPr>
              <w:spacing w:after="60" w:before="60"/>
            </w:pPr>
            <w:r>
              <w:rPr>
                <w:rFonts w:ascii="Calibri" w:cs="Calibri" w:eastAsia="Calibri" w:hAnsi="Calibri"/>
                <w:b/>
                <w:bCs/>
                <w:color w:val="FFFFFF"/>
                <w:sz w:val="20"/>
                <w:szCs w:val="20"/>
              </w:rPr>
              <w:t xml:space="preserve">Detail</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Company</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Tannenheim Betonelemente AG</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Registered seat</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Bielefeld, North Rhine-Westphalia, Germany</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Employees (FTE)</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94</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Turnover 2025 (worldwide, prov.)</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EUR 32.8 million</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Turnover 2025 (Germany, prov.)</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EUR 29.1 million</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Product(s)</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Prestressed concrete railway sleepers</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Market share DE (pre-merger)</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approx. 19%</w:t>
            </w:r>
          </w:p>
        </w:tc>
      </w:tr>
    </w:tbl>
    <w:p>
      <w:pPr>
        <w:pBdr>
          <w:bottom w:val="single" w:color="D4D1CA" w:sz="1"/>
        </w:pBdr>
        <w:spacing w:after="200" w:before="200"/>
      </w:pPr>
      <w:r>
        <w:rPr>
          <w:sz w:val="22"/>
          <w:szCs w:val="22"/>
        </w:rPr>
        <w:t xml:space="preserve"/>
      </w:r>
    </w:p>
    <w:p>
      <w:pPr>
        <w:spacing w:after="120" w:before="360"/>
      </w:pPr>
      <w:r>
        <w:rPr>
          <w:rFonts w:ascii="Calibri" w:cs="Calibri" w:eastAsia="Calibri" w:hAnsi="Calibri"/>
          <w:b/>
          <w:bCs/>
          <w:color w:val="1B474D"/>
          <w:sz w:val="30"/>
          <w:szCs w:val="30"/>
        </w:rPr>
        <w:t xml:space="preserve">3. Relevant Markets</w:t>
      </w:r>
    </w:p>
    <w:p>
      <w:pPr>
        <w:spacing w:after="100" w:before="240"/>
      </w:pPr>
      <w:r>
        <w:rPr>
          <w:rFonts w:ascii="Calibri" w:cs="Calibri" w:eastAsia="Calibri" w:hAnsi="Calibri"/>
          <w:b/>
          <w:bCs/>
          <w:color w:val="20808D"/>
          <w:sz w:val="26"/>
          <w:szCs w:val="26"/>
        </w:rPr>
        <w:t xml:space="preserve">3.1 Product Market</w:t>
      </w:r>
    </w:p>
    <w:p>
      <w:pPr>
        <w:spacing w:after="120"/>
      </w:pPr>
      <w:r>
        <w:rPr>
          <w:rFonts w:ascii="Calibri" w:cs="Calibri" w:eastAsia="Calibri" w:hAnsi="Calibri"/>
          <w:sz w:val="22"/>
          <w:szCs w:val="22"/>
        </w:rPr>
        <w:t xml:space="preserve">The notifying party proposes that the relevant product market is the market for prestressed concrete railway sleepers for mainline railway infrastructure (also referred to as 'concrete railway sleepers'). This definition is based on:</w:t>
      </w:r>
    </w:p>
    <w:p>
      <w:pPr>
        <w:spacing w:after="120"/>
      </w:pPr>
      <w:r>
        <w:rPr>
          <w:rFonts w:ascii="Calibri" w:cs="Calibri" w:eastAsia="Calibri" w:hAnsi="Calibri"/>
          <w:sz w:val="22"/>
          <w:szCs w:val="22"/>
        </w:rPr>
        <w:t xml:space="preserve">(a) Demand-side substitutability: wooden sleepers, steel sleepers and composite sleepers are not substitutable due to regulatory restrictions (creosote ban), technical incompatibility on high-speed and electrified lines, and significant lifecycle cost differentials.</w:t>
      </w:r>
    </w:p>
    <w:p>
      <w:pPr>
        <w:spacing w:after="120"/>
      </w:pPr>
      <w:r>
        <w:rPr>
          <w:rFonts w:ascii="Calibri" w:cs="Calibri" w:eastAsia="Calibri" w:hAnsi="Calibri"/>
          <w:sz w:val="22"/>
          <w:szCs w:val="22"/>
        </w:rPr>
        <w:t xml:space="preserve">(b) SSNIP-Test: A hypothetical monopolist in the concrete sleeper segment could profitably sustain a 5-10% price increase, as customers (primarily Deutsche Bahn AG / DB InfraGO AG) have no viable short-term alternatives.</w:t>
      </w:r>
    </w:p>
    <w:p>
      <w:pPr>
        <w:spacing w:after="120"/>
      </w:pPr>
      <w:r>
        <w:rPr>
          <w:rFonts w:ascii="Calibri" w:cs="Calibri" w:eastAsia="Calibri" w:hAnsi="Calibri"/>
          <w:sz w:val="22"/>
          <w:szCs w:val="22"/>
        </w:rPr>
        <w:t xml:space="preserve">(c) Supply-side substitutability: Reorientation by general concrete manufacturers to mainline sleeper production requires 18-36 months and EUR 15-25 million in investment.</w:t>
      </w:r>
    </w:p>
    <w:p>
      <w:pPr>
        <w:spacing w:after="100" w:before="240"/>
      </w:pPr>
      <w:r>
        <w:rPr>
          <w:rFonts w:ascii="Calibri" w:cs="Calibri" w:eastAsia="Calibri" w:hAnsi="Calibri"/>
          <w:b/>
          <w:bCs/>
          <w:color w:val="20808D"/>
          <w:sz w:val="26"/>
          <w:szCs w:val="26"/>
        </w:rPr>
        <w:t xml:space="preserve">3.2 Geographic Market</w:t>
      </w:r>
    </w:p>
    <w:p>
      <w:pPr>
        <w:spacing w:after="120"/>
      </w:pPr>
      <w:r>
        <w:rPr>
          <w:rFonts w:ascii="Calibri" w:cs="Calibri" w:eastAsia="Calibri" w:hAnsi="Calibri"/>
          <w:sz w:val="22"/>
          <w:szCs w:val="22"/>
        </w:rPr>
        <w:t xml:space="preserve">The notifying party primarily proposes a national market definition (Germany). Arguments: DB InfraGO AG-specific approval requirements, transport cost intensity (250-320 kg/unit, economic transport radius approx. 400-600 km), and price differentials of 10-20% between Germany and Benelux. An EWR-wide definition is presented as an alternative. Combined post-merger share at EWR level: approx. 15% — below any threshold triggering competition concerns.</w:t>
      </w:r>
    </w:p>
    <w:p>
      <w:pPr>
        <w:pBdr>
          <w:bottom w:val="single" w:color="D4D1CA" w:sz="1"/>
        </w:pBdr>
        <w:spacing w:after="200" w:before="200"/>
      </w:pPr>
      <w:r>
        <w:rPr>
          <w:sz w:val="22"/>
          <w:szCs w:val="22"/>
        </w:rPr>
        <w:t xml:space="preserve"/>
      </w:r>
    </w:p>
    <w:p>
      <w:pPr>
        <w:spacing w:after="120" w:before="360"/>
      </w:pPr>
      <w:r>
        <w:rPr>
          <w:rFonts w:ascii="Calibri" w:cs="Calibri" w:eastAsia="Calibri" w:hAnsi="Calibri"/>
          <w:b/>
          <w:bCs/>
          <w:color w:val="1B474D"/>
          <w:sz w:val="30"/>
          <w:szCs w:val="30"/>
        </w:rPr>
        <w:t xml:space="preserve">4. Market Shares and Competitive Assessment</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shd w:fill="1B474D" w:color="1B474D" w:val="solid"/>
            <w:tcMar>
              <w:top w:type="dxa" w:w="60"/>
              <w:left w:type="dxa" w:w="120"/>
              <w:bottom w:type="dxa" w:w="60"/>
              <w:right w:type="dxa" w:w="120"/>
            </w:tcMar>
          </w:tcPr>
          <w:p>
            <w:pPr>
              <w:spacing w:after="60" w:before="60"/>
            </w:pPr>
            <w:r>
              <w:rPr>
                <w:rFonts w:ascii="Calibri" w:cs="Calibri" w:eastAsia="Calibri" w:hAnsi="Calibri"/>
                <w:b/>
                <w:bCs/>
                <w:color w:val="FFFFFF"/>
                <w:sz w:val="20"/>
                <w:szCs w:val="20"/>
              </w:rPr>
              <w:t xml:space="preserve">Competitor</w:t>
            </w:r>
          </w:p>
        </w:tc>
        <w:tc>
          <w:tcPr>
            <w:shd w:fill="1B474D" w:color="1B474D" w:val="solid"/>
            <w:tcMar>
              <w:top w:type="dxa" w:w="60"/>
              <w:left w:type="dxa" w:w="120"/>
              <w:bottom w:type="dxa" w:w="60"/>
              <w:right w:type="dxa" w:w="120"/>
            </w:tcMar>
          </w:tcPr>
          <w:p>
            <w:pPr>
              <w:spacing w:after="60" w:before="60"/>
            </w:pPr>
            <w:r>
              <w:rPr>
                <w:rFonts w:ascii="Calibri" w:cs="Calibri" w:eastAsia="Calibri" w:hAnsi="Calibri"/>
                <w:b/>
                <w:bCs/>
                <w:color w:val="FFFFFF"/>
                <w:sz w:val="20"/>
                <w:szCs w:val="20"/>
              </w:rPr>
              <w:t xml:space="preserve">Market share DE (pre)</w:t>
            </w:r>
          </w:p>
        </w:tc>
        <w:tc>
          <w:tcPr>
            <w:shd w:fill="1B474D" w:color="1B474D" w:val="solid"/>
            <w:tcMar>
              <w:top w:type="dxa" w:w="60"/>
              <w:left w:type="dxa" w:w="120"/>
              <w:bottom w:type="dxa" w:w="60"/>
              <w:right w:type="dxa" w:w="120"/>
            </w:tcMar>
          </w:tcPr>
          <w:p>
            <w:pPr>
              <w:spacing w:after="60" w:before="60"/>
            </w:pPr>
            <w:r>
              <w:rPr>
                <w:rFonts w:ascii="Calibri" w:cs="Calibri" w:eastAsia="Calibri" w:hAnsi="Calibri"/>
                <w:b/>
                <w:bCs/>
                <w:color w:val="FFFFFF"/>
                <w:sz w:val="20"/>
                <w:szCs w:val="20"/>
              </w:rPr>
              <w:t xml:space="preserve">Market share DE (post)</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GBW + TBA (combined)</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57%</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57% (post-merger)</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Rehme Bahnbau GmbH &amp; Co. KG</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18%</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18%</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Schienenwerk Lausitz AG</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12%</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12%</w:t>
            </w:r>
          </w:p>
        </w:tc>
      </w:tr>
      <w:tr>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Other / Imports</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13%</w:t>
            </w:r>
          </w:p>
        </w:tc>
        <w:tc>
          <w:tcPr>
            <w:tcMar>
              <w:top w:type="dxa" w:w="60"/>
              <w:left w:type="dxa" w:w="120"/>
              <w:bottom w:type="dxa" w:w="60"/>
              <w:right w:type="dxa" w:w="120"/>
            </w:tcMar>
          </w:tcPr>
          <w:p>
            <w:pPr>
              <w:spacing w:after="60" w:before="60"/>
            </w:pPr>
            <w:r>
              <w:rPr>
                <w:rFonts w:ascii="Calibri" w:cs="Calibri" w:eastAsia="Calibri" w:hAnsi="Calibri"/>
                <w:b w:val="false"/>
                <w:bCs w:val="false"/>
                <w:color w:val="28251D"/>
                <w:sz w:val="20"/>
                <w:szCs w:val="20"/>
              </w:rPr>
              <w:t xml:space="preserve">13%</w:t>
            </w:r>
          </w:p>
        </w:tc>
      </w:tr>
    </w:tbl>
    <w:p>
      <w:pPr>
        <w:spacing w:after="120"/>
      </w:pPr>
      <w:r>
        <w:rPr>
          <w:sz w:val="22"/>
          <w:szCs w:val="22"/>
        </w:rPr>
        <w:t xml:space="preserve"/>
      </w:r>
    </w:p>
    <w:p>
      <w:pPr>
        <w:spacing w:after="120"/>
      </w:pPr>
      <w:r>
        <w:rPr>
          <w:rFonts w:ascii="Calibri" w:cs="Calibri" w:eastAsia="Calibri" w:hAnsi="Calibri"/>
          <w:sz w:val="22"/>
          <w:szCs w:val="22"/>
        </w:rPr>
        <w:t xml:space="preserve">Post-merger HHI: approx. 3,886 (pre: approx. 2,442). Delta-HHI: approx. 1,444. The transaction raises serious doubts as to its compatibility with the internal market as communicated in the Phase II opening decision of 5 May 2026.</w:t>
      </w:r>
    </w:p>
    <w:p>
      <w:pPr>
        <w:pBdr>
          <w:bottom w:val="single" w:color="D4D1CA" w:sz="1"/>
        </w:pBdr>
        <w:spacing w:after="200" w:before="200"/>
      </w:pPr>
      <w:r>
        <w:rPr>
          <w:sz w:val="22"/>
          <w:szCs w:val="22"/>
        </w:rPr>
        <w:t xml:space="preserve"/>
      </w:r>
    </w:p>
    <w:p>
      <w:pPr>
        <w:spacing w:after="120" w:before="360"/>
      </w:pPr>
      <w:r>
        <w:rPr>
          <w:rFonts w:ascii="Calibri" w:cs="Calibri" w:eastAsia="Calibri" w:hAnsi="Calibri"/>
          <w:b/>
          <w:bCs/>
          <w:color w:val="1B474D"/>
          <w:sz w:val="30"/>
          <w:szCs w:val="30"/>
        </w:rPr>
        <w:t xml:space="preserve">5. Proposed Remedies</w:t>
      </w:r>
    </w:p>
    <w:p>
      <w:pPr>
        <w:spacing w:after="120"/>
      </w:pPr>
      <w:r>
        <w:rPr>
          <w:rFonts w:ascii="Calibri" w:cs="Calibri" w:eastAsia="Calibri" w:hAnsi="Calibri"/>
          <w:sz w:val="22"/>
          <w:szCs w:val="22"/>
        </w:rPr>
        <w:t xml:space="preserve">The notifying party proposes the divestiture of the Bielefeld production facility of TBA (Detmolder Straße 840, Bielefeld) to an approved purchaser — Adlerstein Beton AG (Vienna, Austria) — as a structural remedy. The remedy package includes:</w:t>
      </w:r>
    </w:p>
    <w:p>
      <w:pPr>
        <w:spacing w:after="120"/>
      </w:pPr>
      <w:r>
        <w:rPr>
          <w:rFonts w:ascii="Calibri" w:cs="Calibri" w:eastAsia="Calibri" w:hAnsi="Calibri"/>
          <w:sz w:val="22"/>
          <w:szCs w:val="22"/>
        </w:rPr>
        <w:t xml:space="preserve">(a) Full transfer of land, buildings, production equipment (press, reinforcement unit, testing equipment), all 94 employees (§ 613a BGB succession), DB InfraGO AG supplier approval (subject to approval transfer feasibility), and production licences.</w:t>
      </w:r>
    </w:p>
    <w:p>
      <w:pPr>
        <w:spacing w:after="120"/>
      </w:pPr>
      <w:r>
        <w:rPr>
          <w:rFonts w:ascii="Calibri" w:cs="Calibri" w:eastAsia="Calibri" w:hAnsi="Calibri"/>
          <w:sz w:val="22"/>
          <w:szCs w:val="22"/>
        </w:rPr>
        <w:t xml:space="preserve">(b) A transitional supply agreement under which GBW acts as sub-contractor for Adlerstein for 18 months post-closing.</w:t>
      </w:r>
    </w:p>
    <w:p>
      <w:pPr>
        <w:spacing w:after="120"/>
      </w:pPr>
      <w:r>
        <w:rPr>
          <w:rFonts w:ascii="Calibri" w:cs="Calibri" w:eastAsia="Calibri" w:hAnsi="Calibri"/>
          <w:sz w:val="22"/>
          <w:szCs w:val="22"/>
        </w:rPr>
        <w:t xml:space="preserve">(c) A monitoring trustee (PricewaterhouseCoopers GmbH WPG, Frankfurt) to supervise hold-separate obligations and the divestiture process.</w:t>
      </w:r>
    </w:p>
    <w:p>
      <w:pPr>
        <w:spacing w:after="120"/>
      </w:pPr>
      <w:r>
        <w:rPr>
          <w:rFonts w:ascii="Calibri" w:cs="Calibri" w:eastAsia="Calibri" w:hAnsi="Calibri"/>
          <w:sz w:val="22"/>
          <w:szCs w:val="22"/>
        </w:rPr>
        <w:t xml:space="preserve">The remedy brings the post-divestiture market share of GBW in Germany to approximately 38% (removing TBA's contribution while retaining customer relationships and IP).</w:t>
      </w:r>
    </w:p>
    <w:p>
      <w:pPr>
        <w:pBdr>
          <w:bottom w:val="single" w:color="D4D1CA" w:sz="1"/>
        </w:pBdr>
        <w:spacing w:after="200" w:before="200"/>
      </w:pPr>
      <w:r>
        <w:rPr>
          <w:sz w:val="22"/>
          <w:szCs w:val="22"/>
        </w:rPr>
        <w:t xml:space="preserve"/>
      </w:r>
    </w:p>
    <w:p>
      <w:pPr>
        <w:spacing w:after="80"/>
      </w:pPr>
      <w:r>
        <w:rPr>
          <w:rFonts w:ascii="Calibri" w:cs="Calibri" w:eastAsia="Calibri" w:hAnsi="Calibri"/>
          <w:i/>
          <w:iCs/>
          <w:color w:val="7A7974"/>
          <w:sz w:val="18"/>
          <w:szCs w:val="18"/>
        </w:rPr>
        <w:t xml:space="preserve">Sources: Council Regulation (EC) No 139/2004 — EUMR: eur-lex.europa.eu/legal-content/DE/TXT/?uri=CELEX%3A32004R0139 | Commission Notice on Remedies (OJ C 267/1, 22.10.2008): eur-lex.europa.eu/legal-content/DE/TXT/?uri=CELEX%3A52008XC1022%2803%29 | Commission Notice on Market Definition (OJ C/2024/1645): eur-lex.europa.eu/legal-content/DE/TXT/?uri=OJ:C_202401645 | Art. 22 EUMR and Commission Guidelines (OJ C of 31.03.2021): eur-lex.europa.eu/legal-content/DE/TXT/?uri=CELEX%3A52021XC0331%2801%29</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2026-05-30T19:09:03.555Z</dcterms:created>
  <dcterms:modified xsi:type="dcterms:W3CDTF">2026-05-30T19:09:03.555Z</dcterms:modified>
</cp:coreProperties>
</file>

<file path=docProps/custom.xml><?xml version="1.0" encoding="utf-8"?>
<Properties xmlns="http://schemas.openxmlformats.org/officeDocument/2006/custom-properties" xmlns:vt="http://schemas.openxmlformats.org/officeDocument/2006/docPropsVTypes"/>
</file>