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jc w:val="center"/>
      </w:pPr>
      <w:r>
        <w:rPr>
          <w:rFonts w:ascii="Calibri" w:cs="Calibri" w:eastAsia="Calibri" w:hAnsi="Calibri"/>
          <w:b/>
          <w:bCs/>
          <w:color w:val="A13544"/>
          <w:sz w:val="22"/>
          <w:szCs w:val="22"/>
        </w:rPr>
        <w:t xml:space="preserve">VERTRAULICH — NUR FÜR DAS BUNDESKARTELLAMT</w:t>
      </w:r>
    </w:p>
    <w:p>
      <w:pPr>
        <w:spacing w:after="120" w:before="120"/>
        <w:jc w:val="center"/>
      </w:pPr>
      <w:r>
        <w:rPr>
          <w:rFonts w:ascii="Calibri" w:cs="Calibri" w:eastAsia="Calibri" w:hAnsi="Calibri"/>
          <w:b/>
          <w:bCs/>
          <w:color w:val="1B474D"/>
          <w:sz w:val="40"/>
          <w:szCs w:val="40"/>
        </w:rPr>
        <w:t xml:space="preserve">ANTRAG AUF KRONZEUGENBEHANDLUNG</w:t>
      </w:r>
    </w:p>
    <w:p>
      <w:pPr>
        <w:spacing w:after="80"/>
        <w:jc w:val="center"/>
      </w:pPr>
      <w:r>
        <w:rPr>
          <w:rFonts w:ascii="Calibri" w:cs="Calibri" w:eastAsia="Calibri" w:hAnsi="Calibri"/>
          <w:color w:val="20808D"/>
          <w:sz w:val="26"/>
          <w:szCs w:val="26"/>
        </w:rPr>
        <w:t xml:space="preserve">gemäß § 81e Abs. 2 GWB (Bußgeldrabatt)</w:t>
      </w:r>
    </w:p>
    <w:p>
      <w:pPr>
        <w:spacing w:after="480"/>
        <w:jc w:val="center"/>
      </w:pPr>
      <w:r>
        <w:rPr>
          <w:rFonts w:ascii="Calibri" w:cs="Calibri" w:eastAsia="Calibri" w:hAnsi="Calibri"/>
          <w:b/>
          <w:bCs/>
          <w:sz w:val="24"/>
          <w:szCs w:val="24"/>
        </w:rPr>
        <w:t xml:space="preserve">Az. B6-56/22 | eingereicht am 24. April 2026</w:t>
      </w:r>
    </w:p>
    <w:p>
      <w:pPr>
        <w:pBdr>
          <w:bottom w:val="single" w:color="D4D1CA" w:sz="1"/>
        </w:pBdr>
        <w:spacing w:after="200" w:before="200"/>
      </w:pPr>
      <w:r>
        <w:rPr>
          <w:sz w:val="22"/>
          <w:szCs w:val="22"/>
        </w:rPr>
        <w:t xml:space="preserve"/>
      </w:r>
    </w:p>
    <w:p>
      <w:pPr>
        <w:spacing w:after="80"/>
      </w:pPr>
      <w:r>
        <w:rPr>
          <w:rFonts w:ascii="Calibri" w:cs="Calibri" w:eastAsia="Calibri" w:hAnsi="Calibri"/>
          <w:b/>
          <w:bCs/>
          <w:sz w:val="22"/>
          <w:szCs w:val="22"/>
        </w:rPr>
        <w:t xml:space="preserve">Antragstellerin: </w:t>
      </w:r>
      <w:r>
        <w:rPr>
          <w:rFonts w:ascii="Calibri" w:cs="Calibri" w:eastAsia="Calibri" w:hAnsi="Calibri"/>
          <w:sz w:val="22"/>
          <w:szCs w:val="22"/>
        </w:rPr>
        <w:t xml:space="preserve">Grosskopf Betonwerk Westfalen GmbH (GBW), Schifffahrter Damm 299, 48145 Münster</w:t>
      </w:r>
    </w:p>
    <w:p>
      <w:pPr>
        <w:spacing w:after="80"/>
      </w:pPr>
      <w:r>
        <w:rPr>
          <w:rFonts w:ascii="Calibri" w:cs="Calibri" w:eastAsia="Calibri" w:hAnsi="Calibri"/>
          <w:b/>
          <w:bCs/>
          <w:sz w:val="22"/>
          <w:szCs w:val="22"/>
        </w:rPr>
        <w:t xml:space="preserve">Bevollmächtigte Kanzlei: </w:t>
      </w:r>
      <w:r>
        <w:rPr>
          <w:rFonts w:ascii="Calibri" w:cs="Calibri" w:eastAsia="Calibri" w:hAnsi="Calibri"/>
          <w:sz w:val="22"/>
          <w:szCs w:val="22"/>
        </w:rPr>
        <w:t xml:space="preserve">Prof. Dr. Cornelius Friedrich Schwertbeck &amp; Partner Rechtsanwälte, Graf-Adolf-Platz 5, 40213 Düsseldorf</w:t>
      </w:r>
    </w:p>
    <w:p>
      <w:pPr>
        <w:spacing w:after="80"/>
      </w:pPr>
      <w:r>
        <w:rPr>
          <w:rFonts w:ascii="Calibri" w:cs="Calibri" w:eastAsia="Calibri" w:hAnsi="Calibri"/>
          <w:b/>
          <w:bCs/>
          <w:sz w:val="22"/>
          <w:szCs w:val="22"/>
        </w:rPr>
        <w:t xml:space="preserve">An das: </w:t>
      </w:r>
      <w:r>
        <w:rPr>
          <w:rFonts w:ascii="Calibri" w:cs="Calibri" w:eastAsia="Calibri" w:hAnsi="Calibri"/>
          <w:sz w:val="22"/>
          <w:szCs w:val="22"/>
        </w:rPr>
        <w:t xml:space="preserve">Bundeskartellamt, Referat B6, Kaiser-Friedrich-Straße 16, 53113 Bonn</w:t>
      </w:r>
    </w:p>
    <w:p>
      <w:pPr>
        <w:spacing w:after="80"/>
      </w:pPr>
      <w:r>
        <w:rPr>
          <w:rFonts w:ascii="Calibri" w:cs="Calibri" w:eastAsia="Calibri" w:hAnsi="Calibri"/>
          <w:b/>
          <w:bCs/>
          <w:sz w:val="22"/>
          <w:szCs w:val="22"/>
        </w:rPr>
        <w:t xml:space="preserve">Rechtsgrundlage: </w:t>
      </w:r>
      <w:r>
        <w:rPr>
          <w:rFonts w:ascii="Calibri" w:cs="Calibri" w:eastAsia="Calibri" w:hAnsi="Calibri"/>
          <w:sz w:val="22"/>
          <w:szCs w:val="22"/>
        </w:rPr>
        <w:t xml:space="preserve">§ 81e Abs. 2 GWB i.V.m. Art. 18 ECN+-Richtlinie 2019/1/EU</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A. Erklärung der Kooperationsbereitschaft</w:t>
      </w:r>
    </w:p>
    <w:p>
      <w:pPr>
        <w:spacing w:after="120"/>
      </w:pPr>
      <w:r>
        <w:rPr>
          <w:rFonts w:ascii="Calibri" w:cs="Calibri" w:eastAsia="Calibri" w:hAnsi="Calibri"/>
          <w:sz w:val="22"/>
          <w:szCs w:val="22"/>
        </w:rPr>
        <w:t xml:space="preserve">Die Grosskopf Betonwerk Westfalen GmbH erklärt hiermit ihre vollständige, uneingeschränkte und ununterbrochene Bereitschaft zur Kooperation mit dem Bundeskartellamt im Bußgeldverfahren B6-56/22 (Preisabstimmungen im Segment Bahnbetonschwellen, 2018–2021).</w:t>
      </w:r>
    </w:p>
    <w:p>
      <w:pPr>
        <w:spacing w:after="120"/>
      </w:pPr>
      <w:r>
        <w:rPr>
          <w:rFonts w:ascii="Calibri" w:cs="Calibri" w:eastAsia="Calibri" w:hAnsi="Calibri"/>
          <w:sz w:val="22"/>
          <w:szCs w:val="22"/>
        </w:rPr>
        <w:t xml:space="preserve">GBW verpflichtet sich,</w:t>
      </w:r>
    </w:p>
    <w:p>
      <w:pPr>
        <w:spacing w:after="120"/>
      </w:pPr>
      <w:r>
        <w:rPr>
          <w:rFonts w:ascii="Calibri" w:cs="Calibri" w:eastAsia="Calibri" w:hAnsi="Calibri"/>
          <w:sz w:val="22"/>
          <w:szCs w:val="22"/>
        </w:rPr>
        <w:t xml:space="preserve">(1) alle relevanten Informationen, Dokumente und Beweismittel vollständig und unverzüglich vorzulegen;</w:t>
      </w:r>
    </w:p>
    <w:p>
      <w:pPr>
        <w:spacing w:after="120"/>
      </w:pPr>
      <w:r>
        <w:rPr>
          <w:rFonts w:ascii="Calibri" w:cs="Calibri" w:eastAsia="Calibri" w:hAnsi="Calibri"/>
          <w:sz w:val="22"/>
          <w:szCs w:val="22"/>
        </w:rPr>
        <w:t xml:space="preserve">(2) alle Fragen des Bundeskartellamts wahrheitsgemäß und vollständig zu beantworten;</w:t>
      </w:r>
    </w:p>
    <w:p>
      <w:pPr>
        <w:spacing w:after="120"/>
      </w:pPr>
      <w:r>
        <w:rPr>
          <w:rFonts w:ascii="Calibri" w:cs="Calibri" w:eastAsia="Calibri" w:hAnsi="Calibri"/>
          <w:sz w:val="22"/>
          <w:szCs w:val="22"/>
        </w:rPr>
        <w:t xml:space="preserve">(3) die Kooperation nicht ohne Zustimmung des Bundeskartellamts gegenüber Dritten offenzulegen;</w:t>
      </w:r>
    </w:p>
    <w:p>
      <w:pPr>
        <w:spacing w:after="120"/>
      </w:pPr>
      <w:r>
        <w:rPr>
          <w:rFonts w:ascii="Calibri" w:cs="Calibri" w:eastAsia="Calibri" w:hAnsi="Calibri"/>
          <w:sz w:val="22"/>
          <w:szCs w:val="22"/>
        </w:rPr>
        <w:t xml:space="preserve">(4) keine Beweismittel zu vernichten, zu verändern oder zurückzuhalten.</w:t>
      </w:r>
    </w:p>
    <w:p>
      <w:pPr>
        <w:spacing w:after="120"/>
      </w:pPr>
      <w:r>
        <w:rPr>
          <w:rFonts w:ascii="Calibri" w:cs="Calibri" w:eastAsia="Calibri" w:hAnsi="Calibri"/>
          <w:sz w:val="22"/>
          <w:szCs w:val="22"/>
        </w:rPr>
        <w:t xml:space="preserve">GBW ist bewusst, dass nach Angaben der Kanzlei die Rehme Bahnbau GmbH &amp; Co. KG zuvor (am 19. April 2026) einen Vollerlass-Antrag nach § 81e Abs. 1 GWB gestellt haben soll. GBW stellt diesen Antrag als zweites Unternehmen und begehrt einen Bußgeldrabatt gemäß § 81e Abs. 2 GWB.</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B. Beschreibung der Zuwiderhandlung</w:t>
      </w:r>
    </w:p>
    <w:p>
      <w:pPr>
        <w:spacing w:after="100" w:before="240"/>
      </w:pPr>
      <w:r>
        <w:rPr>
          <w:rFonts w:ascii="Calibri" w:cs="Calibri" w:eastAsia="Calibri" w:hAnsi="Calibri"/>
          <w:b/>
          <w:bCs/>
          <w:color w:val="20808D"/>
          <w:sz w:val="26"/>
          <w:szCs w:val="26"/>
        </w:rPr>
        <w:t xml:space="preserve">I. Art und Gegenstand</w:t>
      </w:r>
    </w:p>
    <w:p>
      <w:pPr>
        <w:spacing w:after="120"/>
      </w:pPr>
      <w:r>
        <w:rPr>
          <w:rFonts w:ascii="Calibri" w:cs="Calibri" w:eastAsia="Calibri" w:hAnsi="Calibri"/>
          <w:sz w:val="22"/>
          <w:szCs w:val="22"/>
        </w:rPr>
        <w:t xml:space="preserve">Im Zeitraum von Anfang 2018 bis Ende 2021 haben Vertreter der GBW, der Tannenheim Betonelemente AG (TBA), der Rehme Bahnbau GmbH &amp; Co. KG sowie mindestens eines weiteren Unternehmens an mehreren Treffen teilgenommen, bei denen horizontale Preisabstimmungen und Aufteilungsabreden für Ausschreibungen der DB Netz AG (heute DB InfraGO AG) vorgenommen wurden.</w:t>
      </w:r>
    </w:p>
    <w:p>
      <w:pPr>
        <w:spacing w:after="120"/>
      </w:pPr>
      <w:r>
        <w:rPr>
          <w:rFonts w:ascii="Calibri" w:cs="Calibri" w:eastAsia="Calibri" w:hAnsi="Calibri"/>
          <w:sz w:val="22"/>
          <w:szCs w:val="22"/>
        </w:rPr>
        <w:t xml:space="preserve">Die Treffen fanden überwiegend statt:</w:t>
      </w:r>
    </w:p>
    <w:p>
      <w:pPr>
        <w:spacing w:after="120"/>
      </w:pPr>
      <w:r>
        <w:rPr>
          <w:rFonts w:ascii="Calibri" w:cs="Calibri" w:eastAsia="Calibri" w:hAnsi="Calibri"/>
          <w:sz w:val="22"/>
          <w:szCs w:val="22"/>
        </w:rPr>
        <w:t xml:space="preserve">(a) im Rahmen der Schieneninfrastruktur-Tagung (SIT) in Köln (2018, 2019, 2020 — 2021 pandemiebedingt digital);</w:t>
      </w:r>
    </w:p>
    <w:p>
      <w:pPr>
        <w:spacing w:after="120"/>
      </w:pPr>
      <w:r>
        <w:rPr>
          <w:rFonts w:ascii="Calibri" w:cs="Calibri" w:eastAsia="Calibri" w:hAnsi="Calibri"/>
          <w:sz w:val="22"/>
          <w:szCs w:val="22"/>
        </w:rPr>
        <w:t xml:space="preserve">(b) in informellen bilateralen Zusammenkünften zwischen GBW-Vertriebsleiter und TBA-Vertriebsleiter (Namen intern bekannt, werden auf Anforderung mitgeteilt);</w:t>
      </w:r>
    </w:p>
    <w:p>
      <w:pPr>
        <w:spacing w:after="120"/>
      </w:pPr>
      <w:r>
        <w:rPr>
          <w:rFonts w:ascii="Calibri" w:cs="Calibri" w:eastAsia="Calibri" w:hAnsi="Calibri"/>
          <w:sz w:val="22"/>
          <w:szCs w:val="22"/>
        </w:rPr>
        <w:t xml:space="preserve">(c) in einem mindestens zweimal jährlich stattfindenden 'Arbeitskreis' unter informellem Vorsitz.</w:t>
      </w:r>
    </w:p>
    <w:p>
      <w:pPr>
        <w:spacing w:after="100" w:before="240"/>
      </w:pPr>
      <w:r>
        <w:rPr>
          <w:rFonts w:ascii="Calibri" w:cs="Calibri" w:eastAsia="Calibri" w:hAnsi="Calibri"/>
          <w:b/>
          <w:bCs/>
          <w:color w:val="20808D"/>
          <w:sz w:val="26"/>
          <w:szCs w:val="26"/>
        </w:rPr>
        <w:t xml:space="preserve">II. Inhalt der Abstimmungen</w:t>
      </w:r>
    </w:p>
    <w:p>
      <w:pPr>
        <w:spacing w:after="120"/>
      </w:pPr>
      <w:r>
        <w:rPr>
          <w:rFonts w:ascii="Calibri" w:cs="Calibri" w:eastAsia="Calibri" w:hAnsi="Calibri"/>
          <w:sz w:val="22"/>
          <w:szCs w:val="22"/>
        </w:rPr>
        <w:t xml:space="preserve">Die Abstimmungen betrafen:</w:t>
      </w:r>
    </w:p>
    <w:p>
      <w:pPr>
        <w:spacing w:after="120"/>
      </w:pPr>
      <w:r>
        <w:rPr>
          <w:rFonts w:ascii="Calibri" w:cs="Calibri" w:eastAsia="Calibri" w:hAnsi="Calibri"/>
          <w:sz w:val="22"/>
          <w:szCs w:val="22"/>
        </w:rPr>
        <w:t xml:space="preserve">(1) Zielpreise für DB-Rahmenvertragsausschreibungen (Preiskorridore, die nicht unterschritten werden sollten);</w:t>
      </w:r>
    </w:p>
    <w:p>
      <w:pPr>
        <w:spacing w:after="120"/>
      </w:pPr>
      <w:r>
        <w:rPr>
          <w:rFonts w:ascii="Calibri" w:cs="Calibri" w:eastAsia="Calibri" w:hAnsi="Calibri"/>
          <w:sz w:val="22"/>
          <w:szCs w:val="22"/>
        </w:rPr>
        <w:t xml:space="preserve">(2) Aufteilung der Mengenanteile bei gemeinsamen Ausschreibungen (GBW: Schwerpunkt Weststrecken; TBA: Schwerpunkt Nordnetz; Rehme: Regionalnetz Ruhr);</w:t>
      </w:r>
    </w:p>
    <w:p>
      <w:pPr>
        <w:spacing w:after="120"/>
      </w:pPr>
      <w:r>
        <w:rPr>
          <w:rFonts w:ascii="Calibri" w:cs="Calibri" w:eastAsia="Calibri" w:hAnsi="Calibri"/>
          <w:sz w:val="22"/>
          <w:szCs w:val="22"/>
        </w:rPr>
        <w:t xml:space="preserve">(3) Abstimmung über die Abgabe von 'Alibiangeboten' bei Ausschreibungen, bei denen das jeweilige Unternehmen nicht den Zuschlag erhalten sollte.</w:t>
      </w:r>
    </w:p>
    <w:p>
      <w:pPr>
        <w:spacing w:after="100" w:before="240"/>
      </w:pPr>
      <w:r>
        <w:rPr>
          <w:rFonts w:ascii="Calibri" w:cs="Calibri" w:eastAsia="Calibri" w:hAnsi="Calibri"/>
          <w:b/>
          <w:bCs/>
          <w:color w:val="20808D"/>
          <w:sz w:val="26"/>
          <w:szCs w:val="26"/>
        </w:rPr>
        <w:t xml:space="preserve">III. Dauer</w:t>
      </w:r>
    </w:p>
    <w:p>
      <w:pPr>
        <w:spacing w:after="120"/>
      </w:pPr>
      <w:r>
        <w:rPr>
          <w:rFonts w:ascii="Calibri" w:cs="Calibri" w:eastAsia="Calibri" w:hAnsi="Calibri"/>
          <w:sz w:val="22"/>
          <w:szCs w:val="22"/>
        </w:rPr>
        <w:t xml:space="preserve">Beginn: Frühjahr 2018 (erstes identifiziertes Treffen: SIT Köln, März 2018). Ende: Dezember 2021 (letztes bekanntes Koordinationstelefonat). GBW hat die Praxis seit Anfang 2022 eingestellt.</w:t>
      </w:r>
    </w:p>
    <w:p>
      <w:pPr>
        <w:spacing w:after="100" w:before="240"/>
      </w:pPr>
      <w:r>
        <w:rPr>
          <w:rFonts w:ascii="Calibri" w:cs="Calibri" w:eastAsia="Calibri" w:hAnsi="Calibri"/>
          <w:b/>
          <w:bCs/>
          <w:color w:val="20808D"/>
          <w:sz w:val="26"/>
          <w:szCs w:val="26"/>
        </w:rPr>
        <w:t xml:space="preserve">IV. Beteiligte</w:t>
      </w:r>
    </w:p>
    <w:p>
      <w:pPr>
        <w:spacing w:after="120"/>
      </w:pPr>
      <w:r>
        <w:rPr>
          <w:rFonts w:ascii="Calibri" w:cs="Calibri" w:eastAsia="Calibri" w:hAnsi="Calibri"/>
          <w:sz w:val="22"/>
          <w:szCs w:val="22"/>
        </w:rPr>
        <w:t xml:space="preserve">GBW, TBA, Rehme Bahnbau GmbH &amp; Co. KG. Ein viertes Unternehmen wird vermutet (kein gesicherter Nachweis durch GBW); Details folgen nach Sichtung der Unterlagen.</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C. Beweismittelangebot</w:t>
      </w:r>
    </w:p>
    <w:p>
      <w:pPr>
        <w:spacing w:after="120"/>
      </w:pPr>
      <w:r>
        <w:rPr>
          <w:rFonts w:ascii="Calibri" w:cs="Calibri" w:eastAsia="Calibri" w:hAnsi="Calibri"/>
          <w:sz w:val="22"/>
          <w:szCs w:val="22"/>
        </w:rPr>
        <w:t xml:space="preserve">GBW bietet folgende Beweismittel an:</w:t>
      </w:r>
    </w:p>
    <w:p>
      <w:pPr>
        <w:spacing w:after="120"/>
      </w:pPr>
      <w:r>
        <w:rPr>
          <w:rFonts w:ascii="Calibri" w:cs="Calibri" w:eastAsia="Calibri" w:hAnsi="Calibri"/>
          <w:sz w:val="22"/>
          <w:szCs w:val="22"/>
        </w:rPr>
        <w:t xml:space="preserve">(1) Interne E-Mail-Kommunikation (2018–2021): ca. 340 E-Mails mit Bezug zu Preisabstimmungen, Angebotsvorbereitung und Aufteilungsabreden (Server-Backup, Stand April 2022, gesichert durch externe Forensik);</w:t>
      </w:r>
    </w:p>
    <w:p>
      <w:pPr>
        <w:spacing w:after="120"/>
      </w:pPr>
      <w:r>
        <w:rPr>
          <w:rFonts w:ascii="Calibri" w:cs="Calibri" w:eastAsia="Calibri" w:hAnsi="Calibri"/>
          <w:sz w:val="22"/>
          <w:szCs w:val="22"/>
        </w:rPr>
        <w:t xml:space="preserve">(2) Handschriftliche Notizen des ehemaligen GBW-Vertriebsleiters (Herrn [Name intern]) aus den SIT-Treffen 2018 und 2019;</w:t>
      </w:r>
    </w:p>
    <w:p>
      <w:pPr>
        <w:spacing w:after="120"/>
      </w:pPr>
      <w:r>
        <w:rPr>
          <w:rFonts w:ascii="Calibri" w:cs="Calibri" w:eastAsia="Calibri" w:hAnsi="Calibri"/>
          <w:sz w:val="22"/>
          <w:szCs w:val="22"/>
        </w:rPr>
        <w:t xml:space="preserve">(3) Interne Kalkulationsunterlagen, die Absprachen zu Angebotspreisen dokumentieren;</w:t>
      </w:r>
    </w:p>
    <w:p>
      <w:pPr>
        <w:spacing w:after="120"/>
      </w:pPr>
      <w:r>
        <w:rPr>
          <w:rFonts w:ascii="Calibri" w:cs="Calibri" w:eastAsia="Calibri" w:hAnsi="Calibri"/>
          <w:sz w:val="22"/>
          <w:szCs w:val="22"/>
        </w:rPr>
        <w:t xml:space="preserve">(4) Zeugenbenennung: ehemaliger Vertriebsleiter GBW (bereit zur freiwilligen Aussage), aktuelle Vertriebsmitarbeiterin GBW (Kenntnisstand ab 2020).</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D. Bedeutender Mehrwert</w:t>
      </w:r>
    </w:p>
    <w:p>
      <w:pPr>
        <w:spacing w:after="120"/>
      </w:pPr>
      <w:r>
        <w:rPr>
          <w:rFonts w:ascii="Calibri" w:cs="Calibri" w:eastAsia="Calibri" w:hAnsi="Calibri"/>
          <w:sz w:val="22"/>
          <w:szCs w:val="22"/>
        </w:rPr>
        <w:t xml:space="preserve">GBW ist der Auffassung, dass die angebotenen Beweismittel einen bedeutenden Mehrwert i.S.d. § 81e Abs. 2 GWB darstellen, weil:</w:t>
      </w:r>
    </w:p>
    <w:p>
      <w:pPr>
        <w:spacing w:after="120"/>
      </w:pPr>
      <w:r>
        <w:rPr>
          <w:rFonts w:ascii="Calibri" w:cs="Calibri" w:eastAsia="Calibri" w:hAnsi="Calibri"/>
          <w:sz w:val="22"/>
          <w:szCs w:val="22"/>
        </w:rPr>
        <w:t xml:space="preserve">(a) Die E-Mail-Kommunikation konkrete Preisabstimmungen und Mengenzuteilungen dokumentiert, die das BKartA nach bisherigem Erkenntnisstand noch nicht vollständig besitzt;</w:t>
      </w:r>
    </w:p>
    <w:p>
      <w:pPr>
        <w:spacing w:after="120"/>
      </w:pPr>
      <w:r>
        <w:rPr>
          <w:rFonts w:ascii="Calibri" w:cs="Calibri" w:eastAsia="Calibri" w:hAnsi="Calibri"/>
          <w:sz w:val="22"/>
          <w:szCs w:val="22"/>
        </w:rPr>
        <w:t xml:space="preserve">(b) Die Zeugenaussagen die Umstände und den Mechanismus der Abstimmungen erstmals aus erster Hand darlegen;</w:t>
      </w:r>
    </w:p>
    <w:p>
      <w:pPr>
        <w:spacing w:after="120"/>
      </w:pPr>
      <w:r>
        <w:rPr>
          <w:rFonts w:ascii="Calibri" w:cs="Calibri" w:eastAsia="Calibri" w:hAnsi="Calibri"/>
          <w:sz w:val="22"/>
          <w:szCs w:val="22"/>
        </w:rPr>
        <w:t xml:space="preserve">(c) Die Unterlagen den Tatzeitraum 2018–2021 lückenlos abdecken.</w:t>
      </w:r>
    </w:p>
    <w:p>
      <w:pPr>
        <w:spacing w:after="120"/>
      </w:pPr>
      <w:r>
        <w:rPr>
          <w:rFonts w:ascii="Calibri" w:cs="Calibri" w:eastAsia="Calibri" w:hAnsi="Calibri"/>
          <w:sz w:val="22"/>
          <w:szCs w:val="22"/>
        </w:rPr>
        <w:t xml:space="preserve">GBW beantragt auf dieser Grundlage einen Bußgeldrabatt von mindestens 40 %, hilfsweise 30 %.</w:t>
      </w:r>
    </w:p>
    <w:p>
      <w:pPr>
        <w:pBdr>
          <w:bottom w:val="single" w:color="D4D1CA" w:sz="1"/>
        </w:pBdr>
        <w:spacing w:after="200" w:before="200"/>
      </w:pPr>
      <w:r>
        <w:rPr>
          <w:sz w:val="22"/>
          <w:szCs w:val="22"/>
        </w:rPr>
        <w:t xml:space="preserve"/>
      </w:r>
    </w:p>
    <w:p>
      <w:pPr>
        <w:spacing w:after="120" w:before="360"/>
      </w:pPr>
      <w:r>
        <w:rPr>
          <w:rFonts w:ascii="Calibri" w:cs="Calibri" w:eastAsia="Calibri" w:hAnsi="Calibri"/>
          <w:b/>
          <w:bCs/>
          <w:color w:val="1B474D"/>
          <w:sz w:val="30"/>
          <w:szCs w:val="30"/>
        </w:rPr>
        <w:t xml:space="preserve">E. Erklärung gemäß § 81e Abs. 3 GWB</w:t>
      </w:r>
    </w:p>
    <w:p>
      <w:pPr>
        <w:spacing w:after="120"/>
      </w:pPr>
      <w:r>
        <w:rPr>
          <w:rFonts w:ascii="Calibri" w:cs="Calibri" w:eastAsia="Calibri" w:hAnsi="Calibri"/>
          <w:sz w:val="22"/>
          <w:szCs w:val="22"/>
        </w:rPr>
        <w:t xml:space="preserve">GBW erklärt, dass die Kooperation aufrichtig, vollständig und ununterbrochen ist, dass die Antragsstellung nicht zur Stärkung der Verhandlungsposition in anderen Verfahren missbraucht wird und dass GBW den Antrag nicht gegenüber anderen Beteiligten offenbart hat oder offenbaren wird.</w:t>
      </w:r>
    </w:p>
    <w:p>
      <w:pPr>
        <w:spacing w:after="120"/>
      </w:pPr>
      <w:r>
        <w:rPr>
          <w:sz w:val="22"/>
          <w:szCs w:val="22"/>
        </w:rPr>
        <w:t xml:space="preserve"/>
      </w:r>
    </w:p>
    <w:p>
      <w:pPr>
        <w:spacing w:after="120"/>
      </w:pPr>
      <w:r>
        <w:rPr>
          <w:rFonts w:ascii="Calibri" w:cs="Calibri" w:eastAsia="Calibri" w:hAnsi="Calibri"/>
          <w:sz w:val="22"/>
          <w:szCs w:val="22"/>
        </w:rPr>
        <w:t xml:space="preserve">Düsseldorf, 24. April 2026</w:t>
      </w:r>
    </w:p>
    <w:p>
      <w:pPr>
        <w:spacing w:after="120"/>
      </w:pPr>
      <w:r>
        <w:rPr>
          <w:sz w:val="22"/>
          <w:szCs w:val="22"/>
        </w:rPr>
        <w:t xml:space="preserve"/>
      </w:r>
    </w:p>
    <w:p>
      <w:pPr>
        <w:spacing w:after="120"/>
      </w:pPr>
      <w:r>
        <w:rPr>
          <w:sz w:val="22"/>
          <w:szCs w:val="22"/>
        </w:rPr>
        <w:t xml:space="preserve"/>
      </w:r>
    </w:p>
    <w:p>
      <w:pPr>
        <w:spacing w:after="120"/>
      </w:pPr>
      <w:r>
        <w:rPr>
          <w:rFonts w:ascii="Calibri" w:cs="Calibri" w:eastAsia="Calibri" w:hAnsi="Calibri"/>
          <w:sz w:val="22"/>
          <w:szCs w:val="22"/>
        </w:rPr>
        <w:t xml:space="preserve">Prof. Dr. Cornelius Friedrich Schwertbeck</w:t>
      </w:r>
    </w:p>
    <w:p>
      <w:pPr>
        <w:spacing w:after="120"/>
      </w:pPr>
      <w:r>
        <w:rPr>
          <w:rFonts w:ascii="Calibri" w:cs="Calibri" w:eastAsia="Calibri" w:hAnsi="Calibri"/>
          <w:sz w:val="22"/>
          <w:szCs w:val="22"/>
        </w:rPr>
        <w:t xml:space="preserve">Rechtsanwalt, Fachanwalt für Kartellrecht</w:t>
      </w:r>
    </w:p>
    <w:p>
      <w:pPr>
        <w:spacing w:after="120"/>
      </w:pPr>
      <w:r>
        <w:rPr>
          <w:rFonts w:ascii="Calibri" w:cs="Calibri" w:eastAsia="Calibri" w:hAnsi="Calibri"/>
          <w:sz w:val="22"/>
          <w:szCs w:val="22"/>
        </w:rPr>
        <w:t xml:space="preserve">Schwertbeck &amp; Partner Rechtsanwälte</w:t>
      </w:r>
    </w:p>
    <w:p>
      <w:pPr>
        <w:pBdr>
          <w:bottom w:val="single" w:color="D4D1CA" w:sz="1"/>
        </w:pBdr>
        <w:spacing w:after="200" w:before="200"/>
      </w:pPr>
      <w:r>
        <w:rPr>
          <w:sz w:val="22"/>
          <w:szCs w:val="22"/>
        </w:rPr>
        <w:t xml:space="preserve"/>
      </w:r>
    </w:p>
    <w:p>
      <w:pPr>
        <w:spacing w:after="80"/>
      </w:pPr>
      <w:r>
        <w:rPr>
          <w:rFonts w:ascii="Calibri" w:cs="Calibri" w:eastAsia="Calibri" w:hAnsi="Calibri"/>
          <w:i/>
          <w:iCs/>
          <w:color w:val="7A7974"/>
          <w:sz w:val="18"/>
          <w:szCs w:val="18"/>
        </w:rPr>
        <w:t xml:space="preserve">Quellen: § 81e GWB (Kronzeugenregelung): dejure.org/gesetze/GWB/81e.html | § 81 GWB (Bußgeld): dejure.org/gesetze/GWB/81.html | ECN+-Richtlinie 2019/1, Art. 17 ff.: eur-lex.europa.eu/legal-content/DE/TXT/?uri=CELEX%3A32019L0001 | Art. 101 AEUV: dejure.org/gesetze/AEUV/101.html | § 33g GWB (Schutz Kronzeugenaussagen): dejure.org/gesetze/GWB/33g.html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2026-05-30T19:10:02.285Z</dcterms:created>
  <dcterms:modified xsi:type="dcterms:W3CDTF">2026-05-30T19:10:02.286Z</dcterms:modified>
</cp:coreProperties>
</file>

<file path=docProps/custom.xml><?xml version="1.0" encoding="utf-8"?>
<Properties xmlns="http://schemas.openxmlformats.org/officeDocument/2006/custom-properties" xmlns:vt="http://schemas.openxmlformats.org/officeDocument/2006/docPropsVTypes"/>
</file>