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05032"/>
        </w:rPr>
        <w:t>INTERNE RICHTLINIE</w:t>
      </w:r>
    </w:p>
    <w:p>
      <w:pPr>
        <w:jc w:val="center"/>
      </w:pPr>
      <w:r>
        <w:rPr>
          <w:b/>
          <w:sz w:val="26"/>
        </w:rPr>
        <w:t>Richtlinie zum Einsatz von KI-Systemen</w:t>
      </w:r>
    </w:p>
    <w:p>
      <w:pPr>
        <w:jc w:val="center"/>
      </w:pPr>
      <w:r>
        <w:t>Version 3.2 | Thalheim Industries SE | Stand: Februar 2026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</w:tcPr>
          <w:p/>
        </w:tc>
        <w:tc>
          <w:tcPr>
            <w:tcW w:type="dxa" w:w="4561"/>
          </w:tcPr>
          <w:p/>
        </w:tc>
      </w:tr>
      <w:tr>
        <w:tc>
          <w:tcPr>
            <w:tcW w:type="dxa" w:w="4561"/>
          </w:tcPr>
          <w:p/>
        </w:tc>
        <w:tc>
          <w:tcPr>
            <w:tcW w:type="dxa" w:w="4561"/>
          </w:tcPr>
          <w:p/>
        </w:tc>
      </w:tr>
      <w:tr>
        <w:tc>
          <w:tcPr>
            <w:tcW w:type="dxa" w:w="4561"/>
          </w:tcPr>
          <w:p/>
        </w:tc>
        <w:tc>
          <w:tcPr>
            <w:tcW w:type="dxa" w:w="4561"/>
          </w:tcPr>
          <w:p/>
        </w:tc>
      </w:tr>
      <w:tr>
        <w:tc>
          <w:tcPr>
            <w:tcW w:type="dxa" w:w="4561"/>
          </w:tcPr>
          <w:p/>
        </w:tc>
        <w:tc>
          <w:tcPr>
            <w:tcW w:type="dxa" w:w="4561"/>
          </w:tcPr>
          <w:p/>
        </w:tc>
      </w:tr>
      <w:tr>
        <w:tc>
          <w:tcPr>
            <w:tcW w:type="dxa" w:w="4561"/>
          </w:tcPr>
          <w:p/>
        </w:tc>
        <w:tc>
          <w:tcPr>
            <w:tcW w:type="dxa" w:w="4561"/>
          </w:tcPr>
          <w:p/>
        </w:tc>
      </w:tr>
      <w:tr>
        <w:tc>
          <w:tcPr>
            <w:tcW w:type="dxa" w:w="4561"/>
          </w:tcPr>
          <w:p/>
        </w:tc>
        <w:tc>
          <w:tcPr>
            <w:tcW w:type="dxa" w:w="4561"/>
          </w:tcPr>
          <w:p/>
        </w:tc>
      </w:tr>
      <w:tr>
        <w:tc>
          <w:tcPr>
            <w:tcW w:type="dxa" w:w="4561"/>
          </w:tcPr>
          <w:p>
            <w:r>
              <w:rPr>
                <w:b/>
              </w:rPr>
              <w:t>Dokumentnummer</w:t>
            </w:r>
          </w:p>
        </w:tc>
        <w:tc>
          <w:tcPr>
            <w:tcW w:type="dxa" w:w="4561"/>
          </w:tcPr>
          <w:p>
            <w:r>
              <w:t>TI-RICHTLINIE-KI-2026-001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Version</w:t>
            </w:r>
          </w:p>
        </w:tc>
        <w:tc>
          <w:tcPr>
            <w:tcW w:type="dxa" w:w="4561"/>
          </w:tcPr>
          <w:p>
            <w:r>
              <w:t>3.2 (Entwurf, Vorstandsfreigabe ausstehend)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Erstellt</w:t>
            </w:r>
          </w:p>
        </w:tc>
        <w:tc>
          <w:tcPr>
            <w:tcW w:type="dxa" w:w="4561"/>
          </w:tcPr>
          <w:p>
            <w:r>
              <w:t>Dr. F. Roosendaal / A. Kühnhausen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Geprüft</w:t>
            </w:r>
          </w:p>
        </w:tc>
        <w:tc>
          <w:tcPr>
            <w:tcW w:type="dxa" w:w="4561"/>
          </w:tcPr>
          <w:p>
            <w:r>
              <w:t>Kanzlei Borchmann Compliance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Geltungsbereich</w:t>
            </w:r>
          </w:p>
        </w:tc>
        <w:tc>
          <w:tcPr>
            <w:tcW w:type="dxa" w:w="4561"/>
          </w:tcPr>
          <w:p>
            <w:r>
              <w:t>Thalheim Industries SE + alle EU-Tochtergesellschaften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Ablöst</w:t>
            </w:r>
          </w:p>
        </w:tc>
        <w:tc>
          <w:tcPr>
            <w:tcW w:type="dxa" w:w="4561"/>
          </w:tcPr>
          <w:p>
            <w:r>
              <w:t>Richtlinie KI-Einsatz v3.1 (Oktober 2025)</w:t>
            </w:r>
          </w:p>
        </w:tc>
      </w:tr>
      <w:tr>
        <w:tc>
          <w:tcPr>
            <w:tcW w:type="dxa" w:w="4561"/>
          </w:tcPr>
          <w:p>
            <w:r>
              <w:rPr>
                <w:b/>
              </w:rPr>
              <w:t>Nächste Überprüfung</w:t>
            </w:r>
          </w:p>
        </w:tc>
        <w:tc>
          <w:tcPr>
            <w:tcW w:type="dxa" w:w="4561"/>
          </w:tcPr>
          <w:p>
            <w:r>
              <w:t>Februar 2027</w:t>
            </w:r>
          </w:p>
        </w:tc>
      </w:tr>
    </w:tbl>
    <w:p/>
    <w:p>
      <w:pPr>
        <w:pStyle w:val="Heading2"/>
      </w:pPr>
      <w:r>
        <w:t>Inhaltsverzeichnis</w:t>
      </w:r>
    </w:p>
    <w:p>
      <w:pPr>
        <w:pStyle w:val="ListBullet"/>
      </w:pPr>
      <w:r>
        <w:t>1. Zweck und Anwendungsbereich</w:t>
      </w:r>
    </w:p>
    <w:p>
      <w:pPr>
        <w:pStyle w:val="ListBullet"/>
      </w:pPr>
      <w:r>
        <w:t>2. Begriffsbestimmungen</w:t>
      </w:r>
    </w:p>
    <w:p>
      <w:pPr>
        <w:pStyle w:val="ListBullet"/>
      </w:pPr>
      <w:r>
        <w:t>3. Grundsätze</w:t>
      </w:r>
    </w:p>
    <w:p>
      <w:pPr>
        <w:pStyle w:val="ListBullet"/>
      </w:pPr>
      <w:r>
        <w:t>4. KI-Freigabeprozess</w:t>
      </w:r>
    </w:p>
    <w:p>
      <w:pPr>
        <w:pStyle w:val="ListBullet"/>
      </w:pPr>
      <w:r>
        <w:t>5. Pflichten für Hochrisiko-KI-Systeme</w:t>
      </w:r>
    </w:p>
    <w:p>
      <w:pPr>
        <w:pStyle w:val="ListBullet"/>
      </w:pPr>
      <w:r>
        <w:t>6. Verbotene KI-Praktiken</w:t>
      </w:r>
    </w:p>
    <w:p>
      <w:pPr>
        <w:pStyle w:val="ListBullet"/>
      </w:pPr>
      <w:r>
        <w:t>7. AI Literacy und Schulung</w:t>
      </w:r>
    </w:p>
    <w:p>
      <w:pPr>
        <w:pStyle w:val="ListBullet"/>
      </w:pPr>
      <w:r>
        <w:t>8. Datenschutz und DPIA</w:t>
      </w:r>
    </w:p>
    <w:p>
      <w:pPr>
        <w:pStyle w:val="ListBullet"/>
      </w:pPr>
      <w:r>
        <w:t>9. Mitbestimmung</w:t>
      </w:r>
    </w:p>
    <w:p>
      <w:pPr>
        <w:pStyle w:val="ListBullet"/>
      </w:pPr>
      <w:r>
        <w:t>10. Verstöße und Sanktionen</w:t>
      </w:r>
    </w:p>
    <w:p>
      <w:pPr>
        <w:pStyle w:val="ListBullet"/>
      </w:pPr>
      <w:r>
        <w:t>11. Inkrafttreten</w:t>
      </w:r>
    </w:p>
    <w:p/>
    <w:p>
      <w:pPr>
        <w:pStyle w:val="Heading1"/>
      </w:pPr>
      <w:r>
        <w:t>1. Zweck und Anwendungsbereich</w:t>
      </w:r>
    </w:p>
    <w:p>
      <w:r>
        <w:rPr>
          <w:b w:val="0"/>
          <w:i w:val="0"/>
        </w:rPr>
        <w:t>Diese Richtlinie legt konzernweit verbindliche Anforderungen für Einführung, Betrieb und Überwachung von KI-Systemen bei der Thalheim Industries SE fest. Sie dient der Umsetzung der gesetzlichen Anforderungen der Verordnung (EU) 2024/1689 (KI-Verordnung, KI-VO) sowie der DSGVO.</w:t>
      </w:r>
    </w:p>
    <w:p>
      <w:r>
        <w:rPr>
          <w:b w:val="0"/>
          <w:i w:val="0"/>
        </w:rPr>
        <w:t>Die Richtlinie gilt für alle Mitarbeiterinnen und Mitarbeiter, Führungskräfte und externen Auftragnehmer, die im Auftrag oder für Zwecke der Thalheim Industries SE KI-Systeme einsetzen oder entwickeln.</w:t>
      </w:r>
    </w:p>
    <w:p>
      <w:pPr>
        <w:pStyle w:val="Heading1"/>
      </w:pPr>
      <w:r>
        <w:t>2. Begriffsbestimmungen</w:t>
      </w:r>
    </w:p>
    <w:p>
      <w:r>
        <w:rPr>
          <w:b/>
        </w:rPr>
        <w:t xml:space="preserve">KI-System: </w:t>
      </w:r>
      <w:r>
        <w:t>Software, die für eine Reihe von Zielen betrieben wird und auf der Basis von Eingaben Ergebnisse wie Vorhersagen, Empfehlungen, Entscheidungen oder Inhalte erzeugt, die reale oder virtuelle Umgebungen beeinflussen (Art. 3 Nr. 1 KI-VO).</w:t>
      </w:r>
    </w:p>
    <w:p>
      <w:r>
        <w:rPr>
          <w:b/>
        </w:rPr>
        <w:t xml:space="preserve">Hochrisiko-KI-System: </w:t>
      </w:r>
      <w:r>
        <w:t>KI-Systeme nach Art. 6 i.V.m. Anhang III KI-VO, insbesondere in den Bereichen Personalauswahl, Kreditwürdigkeitsbewertung, biometrische Identifikation und kritische Infrastruktur.</w:t>
      </w:r>
    </w:p>
    <w:p>
      <w:r>
        <w:rPr>
          <w:b/>
        </w:rPr>
        <w:t xml:space="preserve">Betreiber (Deployer): </w:t>
      </w:r>
      <w:r>
        <w:t>Natürliche oder juristische Person, die ein KI-System in eigener Verantwortung verwendet (Art. 3 Nr. 4 KI-VO). Thalheim Industries SE ist Betreiber aller fünf Kernsysteme.</w:t>
      </w:r>
    </w:p>
    <w:p>
      <w:r>
        <w:rPr>
          <w:b/>
        </w:rPr>
        <w:t xml:space="preserve">GPAI-Modell: </w:t>
      </w:r>
      <w:r>
        <w:t>Allzweck-KI-Modell (General-Purpose AI), das für eine Vielzahl von Aufgaben trainiert wurde und als Grundlage für andere KI-Systeme verwendet werden kann (Art. 3 Nr. 63 KI-VO). Beispiel: OpenAI GPT-4o.</w:t>
      </w:r>
    </w:p>
    <w:p>
      <w:r>
        <w:rPr>
          <w:b/>
        </w:rPr>
        <w:t xml:space="preserve">Schatten-KI: </w:t>
      </w:r>
      <w:r>
        <w:t>Nicht gemeldete, nicht freigegebene KI-Systeme, die von Mitarbeitenden ohne Kenntnis der Compliance-Abteilung eingesetzt werden.</w:t>
      </w:r>
    </w:p>
    <w:p>
      <w:pPr>
        <w:pStyle w:val="Heading1"/>
      </w:pPr>
      <w:r>
        <w:t>3. Grundsätze</w:t>
      </w:r>
    </w:p>
    <w:p>
      <w:r>
        <w:rPr>
          <w:b/>
        </w:rPr>
        <w:t xml:space="preserve">1. Rechtmäßigkeit: </w:t>
      </w:r>
      <w:r>
        <w:t>KI-Systeme werden nur eingesetzt, wenn sie die anwendbaren Rechtsvorschriften erfüllen.</w:t>
      </w:r>
    </w:p>
    <w:p>
      <w:r>
        <w:rPr>
          <w:b/>
        </w:rPr>
        <w:t xml:space="preserve">2. Menschliche Aufsicht: </w:t>
      </w:r>
      <w:r>
        <w:t>Keine abschließenden Entscheidungen mit wesentlichen Folgen für Personen ohne menschliche Überprüfungsmöglichkeit (Art. 14 KI-VO).</w:t>
      </w:r>
    </w:p>
    <w:p>
      <w:r>
        <w:rPr>
          <w:b/>
        </w:rPr>
        <w:t xml:space="preserve">3. Transparenz: </w:t>
      </w:r>
      <w:r>
        <w:t>Offenlegung des KI-Einsatzes gegenüber Betroffenen; Einhaltung Art. 50 KI-VO.</w:t>
      </w:r>
    </w:p>
    <w:p>
      <w:r>
        <w:rPr>
          <w:b/>
        </w:rPr>
        <w:t xml:space="preserve">4. Nicht-Diskriminierung: </w:t>
      </w:r>
      <w:r>
        <w:t>Regelmäßige Bias-Tests; keine systematische Diskriminierung.</w:t>
      </w:r>
    </w:p>
    <w:p>
      <w:r>
        <w:rPr>
          <w:b/>
        </w:rPr>
        <w:t xml:space="preserve">5. Datenschutz by Design: </w:t>
      </w:r>
      <w:r>
        <w:t>DPIA vor Einsatz neuer Hochrisiko-Systeme; DSB frühzeitig einbinden.</w:t>
      </w:r>
    </w:p>
    <w:p>
      <w:r>
        <w:rPr>
          <w:b/>
        </w:rPr>
        <w:t xml:space="preserve">6. Rechenschaftspflicht: </w:t>
      </w:r>
      <w:r>
        <w:t>Vorstand trägt Gesamtverantwortung (§ 93 AktG).</w:t>
      </w:r>
    </w:p>
    <w:p>
      <w:pPr>
        <w:pStyle w:val="Heading1"/>
      </w:pPr>
      <w:r>
        <w:t>4. KI-Freigabeprozess</w:t>
      </w:r>
    </w:p>
    <w:p>
      <w:r>
        <w:rPr>
          <w:b w:val="0"/>
          <w:i w:val="0"/>
        </w:rPr>
        <w:t>Jede Einführung eines neuen KI-Systems sowie jede wesentliche Änderung eines bestehenden Systems erfordert eine Freigabe durch den KI-Komitee-Vorsitz (in Abstimmung mit CDO und CCO). Der Freigabeprozess umfasst mindestens:</w:t>
      </w:r>
    </w:p>
    <w:p>
      <w:pPr>
        <w:pStyle w:val="ListBullet"/>
      </w:pPr>
      <w:r>
        <w:t>Meldung des geplanten Systems durch den antragstellenden Fachbereich</w:t>
      </w:r>
    </w:p>
    <w:p>
      <w:pPr>
        <w:pStyle w:val="ListBullet"/>
      </w:pPr>
      <w:r>
        <w:t>Risikoklassifikation nach dem Vier-Stufen-Schema (Art. 5, Art. 6 / Anh. III, Art. 50, minimal)</w:t>
      </w:r>
    </w:p>
    <w:p>
      <w:pPr>
        <w:pStyle w:val="ListBullet"/>
      </w:pPr>
      <w:r>
        <w:t>Datenschutzvorabprüfung durch die Datenschutzbeauftragte</w:t>
      </w:r>
    </w:p>
    <w:p>
      <w:pPr>
        <w:pStyle w:val="ListBullet"/>
      </w:pPr>
      <w:r>
        <w:t>Bei Hochrisiko: vollständige Konformitätsprüfung vor Inbetriebnahme</w:t>
      </w:r>
    </w:p>
    <w:p>
      <w:pPr>
        <w:pStyle w:val="ListBullet"/>
      </w:pPr>
      <w:r>
        <w:t>Eintrag im zentralen KI-Inventar</w:t>
      </w:r>
    </w:p>
    <w:p>
      <w:pPr>
        <w:pStyle w:val="ListBullet"/>
      </w:pPr>
      <w:r>
        <w:t>Nachweis AI-Literacy-Schulung des antragstellenden Fachbereichs</w:t>
      </w:r>
    </w:p>
    <w:p>
      <w:r>
        <w:rPr>
          <w:b w:val="0"/>
          <w:i w:val="0"/>
        </w:rPr>
        <w:t>Die Verwendung von KI-Systemen außerhalb dieses Freigabeprozesses (Schatten-KI) ist ausdrücklich untersagt und kann disziplinarische Konsequenzen haben.</w:t>
      </w:r>
    </w:p>
    <w:p>
      <w:pPr>
        <w:pStyle w:val="Heading1"/>
      </w:pPr>
      <w:r>
        <w:t>5. Pflichten für Hochrisiko-KI-Systeme</w:t>
      </w:r>
    </w:p>
    <w:p>
      <w:r>
        <w:rPr>
          <w:b w:val="0"/>
          <w:i w:val="0"/>
        </w:rPr>
        <w:t>Für Hochrisiko-KI-Systeme (Art. 6 i.V.m. Anhang III KI-VO) gelten kumulativ die Pflichten nach Art. 9–17 KI-VO. Betreiber (Deployer) müssen nach Art. 26 KI-VO insbesondere:</w:t>
      </w:r>
    </w:p>
    <w:p>
      <w:pPr>
        <w:pStyle w:val="ListBullet"/>
      </w:pPr>
      <w:r>
        <w:t>Nur Systeme einsetzen, für die der Anbieter eine Konformitätserklärung ausgestellt hat</w:t>
      </w:r>
    </w:p>
    <w:p>
      <w:pPr>
        <w:pStyle w:val="ListBullet"/>
      </w:pPr>
      <w:r>
        <w:t>Die Zweckbestimmung des Systems einhalten</w:t>
      </w:r>
    </w:p>
    <w:p>
      <w:pPr>
        <w:pStyle w:val="ListBullet"/>
      </w:pPr>
      <w:r>
        <w:t>Menschliche Aufsicht sicherstellen (Art. 14 KI-VO)</w:t>
      </w:r>
    </w:p>
    <w:p>
      <w:pPr>
        <w:pStyle w:val="ListBullet"/>
      </w:pPr>
      <w:r>
        <w:t>Protokollierungsfunktionen aktiviert lassen (Art. 12 KI-VO)</w:t>
      </w:r>
    </w:p>
    <w:p>
      <w:pPr>
        <w:pStyle w:val="ListBullet"/>
      </w:pPr>
      <w:r>
        <w:t>Betroffene Personen informieren (Art. 13, Art. 50 KI-VO)</w:t>
      </w:r>
    </w:p>
    <w:p>
      <w:pPr>
        <w:pStyle w:val="ListBullet"/>
      </w:pPr>
      <w:r>
        <w:t>Schwerwiegende Vorfälle melden (Art. 73 KI-VO)</w:t>
      </w:r>
    </w:p>
    <w:p>
      <w:pPr>
        <w:pStyle w:val="ListBullet"/>
      </w:pPr>
      <w:r>
        <w:t>Registrierung in EU-Datenbank vornehmen (Art. 49 KI-VO)</w:t>
      </w:r>
    </w:p>
    <w:p>
      <w:pPr>
        <w:pStyle w:val="Heading1"/>
      </w:pPr>
      <w:r>
        <w:t>6. Verbotene KI-Praktiken</w:t>
      </w:r>
    </w:p>
    <w:p>
      <w:r>
        <w:rPr>
          <w:b w:val="0"/>
          <w:i w:val="0"/>
        </w:rPr>
        <w:t>Die Verbote des Art. 5 KI-VO gelten bei Thalheim Industries SE absolut. Insbesondere verboten sind: unterschwellige Beeinflussung, Ausnutzung von Vulnerabilitäten, Social Scoring, Emotionserkennung am Arbeitsplatz sowie biometrische Massenüberwachung. Vollständige Rote Liste: Aktenstück 09 (TI-KI-2026-013).</w:t>
      </w:r>
    </w:p>
    <w:p>
      <w:pPr>
        <w:pStyle w:val="Heading1"/>
      </w:pPr>
      <w:r>
        <w:t>7. AI Literacy und Schulung (Art. 4 KI-VO)</w:t>
      </w:r>
    </w:p>
    <w:p>
      <w:r>
        <w:rPr>
          <w:b w:val="0"/>
          <w:i w:val="0"/>
        </w:rPr>
        <w:t>Alle Mitarbeitenden, die KI-Systeme einsetzen oder beaufsichtigen, müssen über ausreichende KI-Kompetenz verfügen. Das Schulungsprogramm (AI-Literacy-Curriculum, Aktenstück 05) ist verbindlich zu absolvieren. Nachweise werden im LMS TalentHub geführt.</w:t>
      </w:r>
    </w:p>
    <w:p>
      <w:pPr>
        <w:pStyle w:val="Heading1"/>
      </w:pPr>
      <w:r>
        <w:t>8. Datenschutz und DPIA</w:t>
      </w:r>
    </w:p>
    <w:p>
      <w:r>
        <w:rPr>
          <w:b w:val="0"/>
          <w:i w:val="0"/>
        </w:rPr>
        <w:t>Für KI-Systeme, die personenbezogene Daten verarbeiten, ist eine Datenschutzvorabprüfung durchzuführen. Hochrisiko-Systeme mit Personenbezug erfordern eine vollständige Datenschutz-Folgenabschätzung (DPIA) nach Art. 35 DSGVO. Die Datenschutzbeauftragte Dr. Eichenmüller ist frühzeitig einzubeziehen.</w:t>
      </w:r>
    </w:p>
    <w:p>
      <w:pPr>
        <w:pStyle w:val="Heading1"/>
      </w:pPr>
      <w:r>
        <w:t>9. Mitbestimmung</w:t>
      </w:r>
    </w:p>
    <w:p>
      <w:r>
        <w:rPr>
          <w:b w:val="0"/>
          <w:i w:val="0"/>
        </w:rPr>
        <w:t>KI-Systeme, die zur Überwachung oder Leistungsbewertung von Mitarbeitenden geeignet sind, unterliegen der Mitbestimmung des Betriebsrats nach § 87 Abs. 1 Nr. 6 BetrVG. Diese Systeme dürfen erst nach Abschluss einer Betriebsvereinbarung oder durch Entscheidung der Einigungsstelle in Betrieb genommen werden.</w:t>
      </w:r>
    </w:p>
    <w:p>
      <w:pPr>
        <w:pStyle w:val="Heading1"/>
      </w:pPr>
      <w:r>
        <w:t>10. Verstöße und Sanktionen</w:t>
      </w:r>
    </w:p>
    <w:p>
      <w:r>
        <w:rPr>
          <w:b w:val="0"/>
          <w:i w:val="0"/>
        </w:rPr>
        <w:t>Verstöße gegen diese Richtlinie — insbesondere der Einsatz von Schatten-KI oder die Umgehung des Freigabeprozesses — werden als Pflichtverletzung gewertet und können arbeitsrechtliche Konsequenzen bis hin zur Kündigung nach sich ziehen. Schwere Verstöße mit Behördenrelevanz werden durch die CCO der zuständigen Aufsichtsbehörde gemeldet.</w:t>
      </w:r>
    </w:p>
    <w:p>
      <w:pPr>
        <w:pStyle w:val="Heading1"/>
      </w:pPr>
      <w:r>
        <w:t>11. Inkrafttreten</w:t>
      </w:r>
    </w:p>
    <w:p>
      <w:r>
        <w:rPr>
          <w:b w:val="0"/>
          <w:i w:val="0"/>
        </w:rPr>
        <w:t>Diese Richtlinie tritt nach Freigabe durch den Vorstand (geplant 15. April 2026) in Kraft und löst Richtlinie KI-Einsatz v3.1 (Oktober 2025) ab. Sie wird jährlich und bei wesentlichen Änderungen der Rechtslage anlassbezogen überprüft.</w:t>
      </w:r>
    </w:p>
    <w:p/>
    <w:p>
      <w:r>
        <w:rPr>
          <w:b w:val="0"/>
          <w:i/>
        </w:rPr>
        <w:t>Mannheim, Februar 2026</w:t>
      </w:r>
    </w:p>
    <w:p/>
    <w:p>
      <w:r>
        <w:rPr>
          <w:b w:val="0"/>
          <w:i w:val="0"/>
        </w:rPr>
        <w:t>Annegret Kühnhausen                        Dr. Falk Roosendaal</w:t>
      </w:r>
    </w:p>
    <w:p>
      <w:r>
        <w:rPr>
          <w:b w:val="0"/>
          <w:i w:val="0"/>
        </w:rPr>
        <w:t>Chief Compliance Officer                     KI-Komitee-Vorsitz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