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color w:val="003C64"/>
        </w:rPr>
        <w:t>VORSTANDSVORLAGE</w:t>
      </w:r>
    </w:p>
    <w:p>
      <w:pPr>
        <w:jc w:val="center"/>
      </w:pPr>
      <w:r>
        <w:rPr>
          <w:b/>
          <w:sz w:val="28"/>
        </w:rPr>
        <w:t>KI-Governance-Rahmen Thalheim Industries SE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61"/>
        <w:gridCol w:w="4561"/>
      </w:tblGrid>
      <w:tr>
        <w:tc>
          <w:tcPr>
            <w:tcW w:type="dxa" w:w="4561"/>
          </w:tcPr>
          <w:p>
            <w:r>
              <w:rPr>
                <w:b/>
              </w:rPr>
              <w:t>Aktenzeichen</w:t>
            </w:r>
          </w:p>
        </w:tc>
        <w:tc>
          <w:tcPr>
            <w:tcW w:type="dxa" w:w="4561"/>
          </w:tcPr>
          <w:p>
            <w:r>
              <w:t>TI-KI-2026-007</w:t>
            </w:r>
          </w:p>
        </w:tc>
      </w:tr>
      <w:tr>
        <w:tc>
          <w:tcPr>
            <w:tcW w:type="dxa" w:w="4561"/>
          </w:tcPr>
          <w:p>
            <w:r>
              <w:rPr>
                <w:b/>
              </w:rPr>
              <w:t>Datum</w:t>
            </w:r>
          </w:p>
        </w:tc>
        <w:tc>
          <w:tcPr>
            <w:tcW w:type="dxa" w:w="4561"/>
          </w:tcPr>
          <w:p>
            <w:r>
              <w:t>15. Oktober 2025</w:t>
            </w:r>
          </w:p>
        </w:tc>
      </w:tr>
      <w:tr>
        <w:tc>
          <w:tcPr>
            <w:tcW w:type="dxa" w:w="4561"/>
          </w:tcPr>
          <w:p>
            <w:r>
              <w:rPr>
                <w:b/>
              </w:rPr>
              <w:t>Vorgelegt durch</w:t>
            </w:r>
          </w:p>
        </w:tc>
        <w:tc>
          <w:tcPr>
            <w:tcW w:type="dxa" w:w="4561"/>
          </w:tcPr>
          <w:p>
            <w:r>
              <w:t>CIO Dr. Wolfsbacher; CCO Kühnhausen</w:t>
            </w:r>
          </w:p>
        </w:tc>
      </w:tr>
      <w:tr>
        <w:tc>
          <w:tcPr>
            <w:tcW w:type="dxa" w:w="4561"/>
          </w:tcPr>
          <w:p>
            <w:r>
              <w:rPr>
                <w:b/>
              </w:rPr>
              <w:t>Beschlussnummer</w:t>
            </w:r>
          </w:p>
        </w:tc>
        <w:tc>
          <w:tcPr>
            <w:tcW w:type="dxa" w:w="4561"/>
          </w:tcPr>
          <w:p>
            <w:r>
              <w:t>VS-2025-087</w:t>
            </w:r>
          </w:p>
        </w:tc>
      </w:tr>
      <w:tr>
        <w:tc>
          <w:tcPr>
            <w:tcW w:type="dxa" w:w="4561"/>
          </w:tcPr>
          <w:p>
            <w:r>
              <w:rPr>
                <w:b/>
              </w:rPr>
              <w:t>Klassifizierung</w:t>
            </w:r>
          </w:p>
        </w:tc>
        <w:tc>
          <w:tcPr>
            <w:tcW w:type="dxa" w:w="4561"/>
          </w:tcPr>
          <w:p>
            <w:r>
              <w:t>VERTRAULICH — Nur Vorstandsmitglieder</w:t>
            </w:r>
          </w:p>
        </w:tc>
      </w:tr>
      <w:tr>
        <w:tc>
          <w:tcPr>
            <w:tcW w:type="dxa" w:w="4561"/>
          </w:tcPr>
          <w:p>
            <w:r>
              <w:rPr>
                <w:b/>
              </w:rPr>
              <w:t>Entscheidungsbedarf</w:t>
            </w:r>
          </w:p>
        </w:tc>
        <w:tc>
          <w:tcPr>
            <w:tcW w:type="dxa" w:w="4561"/>
          </w:tcPr>
          <w:p>
            <w:r>
              <w:t>Ja — Programm TI-KI-2026 zu beschließen</w:t>
            </w:r>
          </w:p>
        </w:tc>
      </w:tr>
    </w:tbl>
    <w:p/>
    <w:p>
      <w:pPr>
        <w:pStyle w:val="Heading1"/>
      </w:pPr>
      <w:r>
        <w:t>1. Ausgangslage und Handlungsbedarf</w:t>
      </w:r>
    </w:p>
    <w:p>
      <w:r>
        <w:rPr>
          <w:b w:val="0"/>
          <w:i w:val="0"/>
        </w:rPr>
        <w:t>Die Verordnung (EU) 2024/1689 über künstliche Intelligenz (KI-VO) tritt mit gestaffelten Anwendungsfristen in Kraft. Für Hochrisiko-KI-Systeme nach Art. 6 i.V.m. Anhang III KI-VO gilt die vollständige Anwendungsfrist ab 02. August 2026. Thalheim Industries SE betreibt derzeit zwei Hochrisiko-Systeme (RecruitAI, CreditVision Score) sowie drei weitere KI-Systeme mit Compliance-Relevanz.</w:t>
      </w:r>
    </w:p>
    <w:p>
      <w:r>
        <w:rPr>
          <w:b w:val="0"/>
          <w:i w:val="0"/>
        </w:rPr>
        <w:t>Ohne ein strukturiertes KI-Governance-Programm drohen folgende Konsequenzen:</w:t>
        <w:br/>
        <w:t>• Bußgelder nach Art. 99 KI-VO bis zu 15 Mio. EUR (Hochrisiko-Pflichtverletzungen)</w:t>
        <w:br/>
        <w:t>• Persönliche Haftung der Vorstandsmitglieder nach § 93 AktG</w:t>
        <w:br/>
        <w:t>• Behördliche Einschränkung oder Untersagung des Systembetriebs</w:t>
        <w:br/>
        <w:t>• Reputationsschäden gegenüber Kunden, Investoren und Betriebsrat</w:t>
      </w:r>
    </w:p>
    <w:p>
      <w:pPr>
        <w:pStyle w:val="Heading1"/>
      </w:pPr>
      <w:r>
        <w:t>2. Beschlussgegenstand</w:t>
      </w:r>
    </w:p>
    <w:p>
      <w:r>
        <w:rPr>
          <w:b w:val="0"/>
          <w:i w:val="0"/>
        </w:rPr>
        <w:t>Der Vorstand wird gebeten, folgende Beschlüsse zu fassen:</w:t>
      </w:r>
    </w:p>
    <w:p>
      <w:pPr>
        <w:pStyle w:val="ListNumber"/>
      </w:pPr>
      <w:r>
        <w:t>Einrichtung des Programms TI-KI-2026 (Laufzeit Oktober 2025 – Dezember 2027)</w:t>
      </w:r>
    </w:p>
    <w:p>
      <w:pPr>
        <w:pStyle w:val="ListNumber"/>
      </w:pPr>
      <w:r>
        <w:t>Ernennung von Dr. Falk Roosendaal zum KI-Komitee-Vorsitz</w:t>
      </w:r>
    </w:p>
    <w:p>
      <w:pPr>
        <w:pStyle w:val="ListNumber"/>
      </w:pPr>
      <w:r>
        <w:t>Mandatierung der Kanzlei Borchmann Compliance (Frankfurt) als externe Rechtsberatung</w:t>
      </w:r>
    </w:p>
    <w:p>
      <w:pPr>
        <w:pStyle w:val="ListNumber"/>
      </w:pPr>
      <w:r>
        <w:t>Mandatierung der WPG Hagedorn &amp; Partner als externer Auditor für Konformitätsbewertungen</w:t>
      </w:r>
    </w:p>
    <w:p>
      <w:pPr>
        <w:pStyle w:val="ListNumber"/>
      </w:pPr>
      <w:r>
        <w:t>Genehmigung eines Programm-Gesamtbudgets von 1.450.000 EUR für Phase 1 und 2</w:t>
      </w:r>
    </w:p>
    <w:p>
      <w:pPr>
        <w:pStyle w:val="ListNumber"/>
      </w:pPr>
      <w:r>
        <w:t>Beauftragung der CCO, unverzüglich Betriebsvereinbarungsverhandlungen mit dem Betriebsrat aufzunehmen</w:t>
      </w:r>
    </w:p>
    <w:p/>
    <w:p>
      <w:pPr>
        <w:pStyle w:val="Heading1"/>
      </w:pPr>
      <w:r>
        <w:t>3. KI-Systeme im Scope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24"/>
        <w:gridCol w:w="1824"/>
        <w:gridCol w:w="1824"/>
        <w:gridCol w:w="1824"/>
        <w:gridCol w:w="1824"/>
      </w:tblGrid>
      <w:tr>
        <w:tc>
          <w:tcPr>
            <w:tcW w:type="dxa" w:w="1824"/>
          </w:tcPr>
          <w:p>
            <w:r>
              <w:rPr>
                <w:b/>
              </w:rPr>
              <w:t>System</w:t>
            </w:r>
          </w:p>
        </w:tc>
        <w:tc>
          <w:tcPr>
            <w:tcW w:type="dxa" w:w="1824"/>
          </w:tcPr>
          <w:p>
            <w:r>
              <w:rPr>
                <w:b/>
              </w:rPr>
              <w:t>Einsatzbereich</w:t>
            </w:r>
          </w:p>
        </w:tc>
        <w:tc>
          <w:tcPr>
            <w:tcW w:type="dxa" w:w="1824"/>
          </w:tcPr>
          <w:p>
            <w:r>
              <w:rPr>
                <w:b/>
              </w:rPr>
              <w:t>Risikoklasse</w:t>
            </w:r>
          </w:p>
        </w:tc>
        <w:tc>
          <w:tcPr>
            <w:tcW w:type="dxa" w:w="1824"/>
          </w:tcPr>
          <w:p>
            <w:r>
              <w:rPr>
                <w:b/>
              </w:rPr>
              <w:t>Vendor</w:t>
            </w:r>
          </w:p>
        </w:tc>
        <w:tc>
          <w:tcPr>
            <w:tcW w:type="dxa" w:w="1824"/>
          </w:tcPr>
          <w:p>
            <w:r>
              <w:rPr>
                <w:b/>
              </w:rPr>
              <w:t>Frist</w:t>
            </w:r>
          </w:p>
        </w:tc>
      </w:tr>
      <w:tr>
        <w:tc>
          <w:tcPr>
            <w:tcW w:type="dxa" w:w="1824"/>
          </w:tcPr>
          <w:p>
            <w:r>
              <w:t>RecruitAI</w:t>
            </w:r>
          </w:p>
        </w:tc>
        <w:tc>
          <w:tcPr>
            <w:tcW w:type="dxa" w:w="1824"/>
          </w:tcPr>
          <w:p>
            <w:r>
              <w:t>HR / Recruiting</w:t>
            </w:r>
          </w:p>
        </w:tc>
        <w:tc>
          <w:tcPr>
            <w:tcW w:type="dxa" w:w="1824"/>
          </w:tcPr>
          <w:p>
            <w:r>
              <w:t>Hochrisiko (Anh. III Nr. 4a)</w:t>
            </w:r>
          </w:p>
        </w:tc>
        <w:tc>
          <w:tcPr>
            <w:tcW w:type="dxa" w:w="1824"/>
          </w:tcPr>
          <w:p>
            <w:r>
              <w:t>Synaptec Analytics GmbH</w:t>
            </w:r>
          </w:p>
        </w:tc>
        <w:tc>
          <w:tcPr>
            <w:tcW w:type="dxa" w:w="1824"/>
          </w:tcPr>
          <w:p>
            <w:r>
              <w:t>02.08.2026</w:t>
            </w:r>
          </w:p>
        </w:tc>
      </w:tr>
      <w:tr>
        <w:tc>
          <w:tcPr>
            <w:tcW w:type="dxa" w:w="1824"/>
          </w:tcPr>
          <w:p>
            <w:r>
              <w:t>CreditVision Score</w:t>
            </w:r>
          </w:p>
        </w:tc>
        <w:tc>
          <w:tcPr>
            <w:tcW w:type="dxa" w:w="1824"/>
          </w:tcPr>
          <w:p>
            <w:r>
              <w:t>Kundenfinanzierung</w:t>
            </w:r>
          </w:p>
        </w:tc>
        <w:tc>
          <w:tcPr>
            <w:tcW w:type="dxa" w:w="1824"/>
          </w:tcPr>
          <w:p>
            <w:r>
              <w:t>Hochrisiko (Anh. III Nr. 5b)</w:t>
            </w:r>
          </w:p>
        </w:tc>
        <w:tc>
          <w:tcPr>
            <w:tcW w:type="dxa" w:w="1824"/>
          </w:tcPr>
          <w:p>
            <w:r>
              <w:t>CreditVision AG</w:t>
            </w:r>
          </w:p>
        </w:tc>
        <w:tc>
          <w:tcPr>
            <w:tcW w:type="dxa" w:w="1824"/>
          </w:tcPr>
          <w:p>
            <w:r>
              <w:t>02.08.2026</w:t>
            </w:r>
          </w:p>
        </w:tc>
      </w:tr>
      <w:tr>
        <w:tc>
          <w:tcPr>
            <w:tcW w:type="dxa" w:w="1824"/>
          </w:tcPr>
          <w:p>
            <w:r>
              <w:t>PredictMaint</w:t>
            </w:r>
          </w:p>
        </w:tc>
        <w:tc>
          <w:tcPr>
            <w:tcW w:type="dxa" w:w="1824"/>
          </w:tcPr>
          <w:p>
            <w:r>
              <w:t>Predictive Maintenance</w:t>
            </w:r>
          </w:p>
        </w:tc>
        <w:tc>
          <w:tcPr>
            <w:tcW w:type="dxa" w:w="1824"/>
          </w:tcPr>
          <w:p>
            <w:r>
              <w:t>Begrenztes Risiko</w:t>
            </w:r>
          </w:p>
        </w:tc>
        <w:tc>
          <w:tcPr>
            <w:tcW w:type="dxa" w:w="1824"/>
          </w:tcPr>
          <w:p>
            <w:r>
              <w:t>Intern</w:t>
            </w:r>
          </w:p>
        </w:tc>
        <w:tc>
          <w:tcPr>
            <w:tcW w:type="dxa" w:w="1824"/>
          </w:tcPr>
          <w:p>
            <w:r>
              <w:t>02.08.2027</w:t>
            </w:r>
          </w:p>
        </w:tc>
      </w:tr>
      <w:tr>
        <w:tc>
          <w:tcPr>
            <w:tcW w:type="dxa" w:w="1824"/>
          </w:tcPr>
          <w:p>
            <w:r>
              <w:t>CodeAssist</w:t>
            </w:r>
          </w:p>
        </w:tc>
        <w:tc>
          <w:tcPr>
            <w:tcW w:type="dxa" w:w="1824"/>
          </w:tcPr>
          <w:p>
            <w:r>
              <w:t>Software-Entwicklung</w:t>
            </w:r>
          </w:p>
        </w:tc>
        <w:tc>
          <w:tcPr>
            <w:tcW w:type="dxa" w:w="1824"/>
          </w:tcPr>
          <w:p>
            <w:r>
              <w:t>Begrenztes Risiko (GPAI)</w:t>
            </w:r>
          </w:p>
        </w:tc>
        <w:tc>
          <w:tcPr>
            <w:tcW w:type="dxa" w:w="1824"/>
          </w:tcPr>
          <w:p>
            <w:r>
              <w:t>OpenAI Ireland</w:t>
            </w:r>
          </w:p>
        </w:tc>
        <w:tc>
          <w:tcPr>
            <w:tcW w:type="dxa" w:w="1824"/>
          </w:tcPr>
          <w:p>
            <w:r>
              <w:t>02.08.2027</w:t>
            </w:r>
          </w:p>
        </w:tc>
      </w:tr>
      <w:tr>
        <w:tc>
          <w:tcPr>
            <w:tcW w:type="dxa" w:w="1824"/>
          </w:tcPr>
          <w:p>
            <w:r>
              <w:t>ServiceBot</w:t>
            </w:r>
          </w:p>
        </w:tc>
        <w:tc>
          <w:tcPr>
            <w:tcW w:type="dxa" w:w="1824"/>
          </w:tcPr>
          <w:p>
            <w:r>
              <w:t>Kundenservice</w:t>
            </w:r>
          </w:p>
        </w:tc>
        <w:tc>
          <w:tcPr>
            <w:tcW w:type="dxa" w:w="1824"/>
          </w:tcPr>
          <w:p>
            <w:r>
              <w:t>Transparenzpflichten (Art. 50)</w:t>
            </w:r>
          </w:p>
        </w:tc>
        <w:tc>
          <w:tcPr>
            <w:tcW w:type="dxa" w:w="1824"/>
          </w:tcPr>
          <w:p>
            <w:r>
              <w:t>Intern</w:t>
            </w:r>
          </w:p>
        </w:tc>
        <w:tc>
          <w:tcPr>
            <w:tcW w:type="dxa" w:w="1824"/>
          </w:tcPr>
          <w:p>
            <w:r>
              <w:t>02.02.2025 ✓</w:t>
            </w:r>
          </w:p>
        </w:tc>
      </w:tr>
    </w:tbl>
    <w:p/>
    <w:p>
      <w:pPr>
        <w:pStyle w:val="Heading1"/>
      </w:pPr>
      <w:r>
        <w:t>4. Programm-Struktur und Meilensteine</w:t>
      </w:r>
    </w:p>
    <w:p>
      <w:r>
        <w:rPr>
          <w:b/>
          <w:i w:val="0"/>
        </w:rPr>
        <w:t>Phase 1 (Oktober–Dezember 2025): Inventarisierung und Gap-Analyse</w:t>
      </w:r>
    </w:p>
    <w:p>
      <w:r>
        <w:rPr>
          <w:b w:val="0"/>
          <w:i w:val="0"/>
        </w:rPr>
        <w:t>Vollständige Erfassung aller KI-Systeme, Risikoklassifikation nach KI-VO, Identifikation Compliance-Lücken.</w:t>
      </w:r>
    </w:p>
    <w:p>
      <w:r>
        <w:rPr>
          <w:b/>
          <w:i w:val="0"/>
        </w:rPr>
        <w:t>Phase 2 (Januar–Juli 2026): Konformitätsherstellung</w:t>
      </w:r>
    </w:p>
    <w:p>
      <w:r>
        <w:rPr>
          <w:b w:val="0"/>
          <w:i w:val="0"/>
        </w:rPr>
        <w:t>Konformitätsprüfung Hochrisiko-Systeme, DPIA, Betriebsvereinbarung, AI-Literacy-Schulung, Vendor-Vertragsnachträge, Behördenkommunikation (BaFin, LfDI BW).</w:t>
      </w:r>
    </w:p>
    <w:p>
      <w:r>
        <w:rPr>
          <w:b/>
          <w:i w:val="0"/>
        </w:rPr>
        <w:t>Phase 3 (Januar–Dezember 2027): Konsolidierung</w:t>
      </w:r>
    </w:p>
    <w:p>
      <w:r>
        <w:rPr>
          <w:b w:val="0"/>
          <w:i w:val="0"/>
        </w:rPr>
        <w:t>Jährliche Bias-Tests, Governance-Optimierung, Audit-Readiness, Überprüfung neuer Systeme.</w:t>
      </w:r>
    </w:p>
    <w:p>
      <w:pPr>
        <w:pStyle w:val="Heading1"/>
      </w:pPr>
      <w:r>
        <w:t>5. Rechtliche Grundlagen</w:t>
      </w:r>
    </w:p>
    <w:p>
      <w:r>
        <w:rPr>
          <w:b w:val="0"/>
          <w:i w:val="0"/>
        </w:rPr>
        <w:t>• Verordnung (EU) 2024/1689 (KI-VO), insbesondere Art. 4, 6, 9–17, 43, 50, 73, 99, 113</w:t>
        <w:br/>
        <w:t>• DSGVO (EU) 2016/679, insbesondere Art. 22, 35</w:t>
        <w:br/>
        <w:t>• BetrVG § 87 Abs. 1 Nr. 6 (Mitbestimmung technische Überwachungseinrichtungen)</w:t>
        <w:br/>
        <w:t>• AktG § 93 (Vorstandshaftung und Sorgfaltspflicht)</w:t>
        <w:br/>
        <w:t>• Hinweisgeberschutzgesetz (HinSchG)</w:t>
      </w:r>
    </w:p>
    <w:p>
      <w:pPr>
        <w:pStyle w:val="Heading1"/>
      </w:pPr>
      <w:r>
        <w:t>6. Empfehlung</w:t>
      </w:r>
    </w:p>
    <w:p>
      <w:r>
        <w:rPr>
          <w:b w:val="0"/>
          <w:i w:val="0"/>
        </w:rPr>
        <w:t>CCO und CIO empfehlen dem Vorstand einstimmig, alle unter Abschnitt 2 aufgeführten Beschlüsse zu fassen. Der Handlungsbedarf ist dringend — die Anwendungsfristen der KI-VO lassen keinen Aufschub.</w:t>
      </w:r>
    </w:p>
    <w:p/>
    <w:p>
      <w:r>
        <w:rPr>
          <w:b w:val="0"/>
          <w:i/>
        </w:rPr>
        <w:t>Mannheim, 15. Oktober 2025</w:t>
      </w:r>
    </w:p>
    <w:p/>
    <w:p>
      <w:r>
        <w:rPr>
          <w:b w:val="0"/>
          <w:i w:val="0"/>
        </w:rPr>
        <w:t>Dr. Sigrid Wolfsbacher                     Annegret Kühnhausen</w:t>
      </w:r>
    </w:p>
    <w:p>
      <w:r>
        <w:rPr>
          <w:b w:val="0"/>
          <w:i w:val="0"/>
        </w:rPr>
        <w:t>Chief Information Officer                  Chief Compliance Officer</w:t>
      </w:r>
    </w:p>
    <w:p>
      <w:r>
        <w:rPr>
          <w:b w:val="0"/>
          <w:i w:val="0"/>
        </w:rPr>
        <w:t>Thalheim Industries SE                      Thalheim Industries SE</w:t>
      </w:r>
    </w:p>
    <w:sectPr w:rsidR="00FC693F" w:rsidRPr="0006063C" w:rsidSect="00034616">
      <w:pgSz w:w="12240" w:h="15840"/>
      <w:pgMar w:top="1417" w:right="1417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